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FB0A" w14:textId="2F15D5BB" w:rsidR="0051307A" w:rsidRDefault="0051307A" w:rsidP="00CC51DA">
      <w:pPr>
        <w:pStyle w:val="Default"/>
        <w:rPr>
          <w:b/>
          <w:bCs/>
        </w:rPr>
      </w:pPr>
      <w:r w:rsidRPr="006924A3">
        <w:rPr>
          <w:b/>
          <w:noProof/>
          <w:lang w:eastAsia="en-GB"/>
        </w:rPr>
        <w:drawing>
          <wp:anchor distT="0" distB="0" distL="114300" distR="114300" simplePos="0" relativeHeight="251660288" behindDoc="1" locked="0" layoutInCell="1" allowOverlap="0" wp14:anchorId="73B53DFF" wp14:editId="49E523C4">
            <wp:simplePos x="0" y="0"/>
            <wp:positionH relativeFrom="margin">
              <wp:align>left</wp:align>
            </wp:positionH>
            <wp:positionV relativeFrom="topMargin">
              <wp:align>bottom</wp:align>
            </wp:positionV>
            <wp:extent cx="1512000" cy="727200"/>
            <wp:effectExtent l="0" t="0" r="0" b="0"/>
            <wp:wrapNone/>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susArthritis_RGB_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2000" cy="727200"/>
                    </a:xfrm>
                    <a:prstGeom prst="rect">
                      <a:avLst/>
                    </a:prstGeom>
                  </pic:spPr>
                </pic:pic>
              </a:graphicData>
            </a:graphic>
            <wp14:sizeRelH relativeFrom="margin">
              <wp14:pctWidth>0</wp14:pctWidth>
            </wp14:sizeRelH>
            <wp14:sizeRelV relativeFrom="margin">
              <wp14:pctHeight>0</wp14:pctHeight>
            </wp14:sizeRelV>
          </wp:anchor>
        </w:drawing>
      </w:r>
    </w:p>
    <w:p w14:paraId="6C1B619D" w14:textId="7B958106" w:rsidR="00A40367" w:rsidRPr="00790559" w:rsidRDefault="00A40367" w:rsidP="00CC51DA">
      <w:pPr>
        <w:pStyle w:val="Default"/>
        <w:rPr>
          <w:b/>
          <w:bCs/>
          <w:i/>
          <w:iCs/>
        </w:rPr>
      </w:pPr>
      <w:r w:rsidRPr="00790559">
        <w:rPr>
          <w:b/>
          <w:bCs/>
        </w:rPr>
        <w:t xml:space="preserve">Versus Arthritis’ </w:t>
      </w:r>
      <w:r w:rsidR="005B7512" w:rsidRPr="00790559">
        <w:rPr>
          <w:b/>
          <w:bCs/>
        </w:rPr>
        <w:t xml:space="preserve">response to </w:t>
      </w:r>
      <w:r w:rsidR="003A1634" w:rsidRPr="00790559">
        <w:rPr>
          <w:b/>
          <w:bCs/>
        </w:rPr>
        <w:t xml:space="preserve">the </w:t>
      </w:r>
      <w:r w:rsidR="00E00EC4" w:rsidRPr="00790559">
        <w:rPr>
          <w:b/>
          <w:bCs/>
        </w:rPr>
        <w:t>Department of Work and Pensions</w:t>
      </w:r>
      <w:r w:rsidR="003A1634" w:rsidRPr="00790559">
        <w:rPr>
          <w:b/>
          <w:bCs/>
        </w:rPr>
        <w:t>’</w:t>
      </w:r>
      <w:r w:rsidR="00E00EC4" w:rsidRPr="00790559">
        <w:rPr>
          <w:b/>
          <w:bCs/>
        </w:rPr>
        <w:t xml:space="preserve"> consultation </w:t>
      </w:r>
      <w:r w:rsidR="00E00EC4" w:rsidRPr="00790559">
        <w:rPr>
          <w:b/>
          <w:bCs/>
          <w:i/>
          <w:iCs/>
        </w:rPr>
        <w:t>Shaping future support: The Health and Disability Green Paper</w:t>
      </w:r>
    </w:p>
    <w:p w14:paraId="5AF76739" w14:textId="603FCA99" w:rsidR="00364D05" w:rsidRDefault="00364D05" w:rsidP="00CC51DA">
      <w:pPr>
        <w:pStyle w:val="Default"/>
        <w:rPr>
          <w:b/>
          <w:bCs/>
          <w:sz w:val="22"/>
          <w:szCs w:val="22"/>
        </w:rPr>
      </w:pPr>
    </w:p>
    <w:p w14:paraId="510BF4A8" w14:textId="50FBC7E4" w:rsidR="00BA5AE5" w:rsidRPr="002F04EF" w:rsidRDefault="00BA5AE5" w:rsidP="00BA5AE5">
      <w:pPr>
        <w:pBdr>
          <w:bottom w:val="single" w:sz="6" w:space="1" w:color="auto"/>
        </w:pBdr>
        <w:spacing w:after="0" w:line="276" w:lineRule="auto"/>
        <w:rPr>
          <w:rFonts w:ascii="Arial" w:hAnsi="Arial" w:cs="Arial"/>
          <w:b/>
          <w:color w:val="000000" w:themeColor="text1"/>
        </w:rPr>
      </w:pPr>
      <w:r>
        <w:rPr>
          <w:rFonts w:ascii="Arial" w:hAnsi="Arial" w:cs="Arial"/>
          <w:b/>
          <w:color w:val="000000" w:themeColor="text1"/>
        </w:rPr>
        <w:t>August 2021</w:t>
      </w:r>
    </w:p>
    <w:p w14:paraId="4B017425" w14:textId="496C3EC9" w:rsidR="00A40367" w:rsidRDefault="000424F3" w:rsidP="00790559">
      <w:pPr>
        <w:pStyle w:val="Default"/>
        <w:spacing w:before="120"/>
        <w:rPr>
          <w:sz w:val="22"/>
          <w:szCs w:val="22"/>
        </w:rPr>
      </w:pPr>
      <w:r w:rsidRPr="000424F3">
        <w:rPr>
          <w:sz w:val="22"/>
          <w:szCs w:val="22"/>
        </w:rPr>
        <w:t xml:space="preserve">Versus Arthritis welcomes the opportunity to provide input into </w:t>
      </w:r>
      <w:r w:rsidR="003A1634" w:rsidRPr="003A1634">
        <w:rPr>
          <w:sz w:val="22"/>
          <w:szCs w:val="22"/>
        </w:rPr>
        <w:t xml:space="preserve">Department of Work and </w:t>
      </w:r>
      <w:r w:rsidR="003A1634" w:rsidRPr="009D639C">
        <w:rPr>
          <w:sz w:val="22"/>
          <w:szCs w:val="22"/>
        </w:rPr>
        <w:t xml:space="preserve">Pensions’ </w:t>
      </w:r>
      <w:r w:rsidRPr="009D639C">
        <w:rPr>
          <w:sz w:val="22"/>
          <w:szCs w:val="22"/>
        </w:rPr>
        <w:t xml:space="preserve">consultation </w:t>
      </w:r>
      <w:r w:rsidR="003A1634" w:rsidRPr="009D639C">
        <w:rPr>
          <w:sz w:val="22"/>
          <w:szCs w:val="22"/>
        </w:rPr>
        <w:t>Shaping future support: The Health and Disability Green Paper.</w:t>
      </w:r>
    </w:p>
    <w:p w14:paraId="58B18D2B" w14:textId="77777777" w:rsidR="009D639C" w:rsidRPr="009D639C" w:rsidRDefault="009D639C" w:rsidP="00403226">
      <w:pPr>
        <w:pStyle w:val="Default"/>
        <w:ind w:left="360"/>
        <w:rPr>
          <w:sz w:val="22"/>
          <w:szCs w:val="22"/>
        </w:rPr>
      </w:pPr>
    </w:p>
    <w:p w14:paraId="49C7E06D" w14:textId="74F6E0BA" w:rsidR="004721EB" w:rsidRDefault="004721EB" w:rsidP="00403226">
      <w:pPr>
        <w:pStyle w:val="Default"/>
        <w:rPr>
          <w:sz w:val="22"/>
          <w:szCs w:val="22"/>
        </w:rPr>
      </w:pPr>
      <w:r w:rsidRPr="009D639C">
        <w:rPr>
          <w:sz w:val="22"/>
          <w:szCs w:val="22"/>
        </w:rPr>
        <w:t>Versus Arthritis is the charity formed by Arthritis Research UK and Arthritis Care joining together. We work alongside volunteers, healthcare professionals, researchers, and friends to do everything we can to push back against arthritis. Together, we develop breakthrough treatments, campaign for arthritis to be a priority and provide support. Our remit convers all musculoskeletal conditions which affect the joints, bones and muscles including osteoarthritis, rheumatoid arthritis, back pain, and osteoporosis</w:t>
      </w:r>
    </w:p>
    <w:p w14:paraId="3E184086" w14:textId="77777777" w:rsidR="00EF67CD" w:rsidRDefault="00EF67CD" w:rsidP="00403226">
      <w:pPr>
        <w:pStyle w:val="Default"/>
        <w:ind w:left="360"/>
        <w:rPr>
          <w:sz w:val="22"/>
          <w:szCs w:val="22"/>
        </w:rPr>
      </w:pPr>
    </w:p>
    <w:p w14:paraId="3C8694BA" w14:textId="28526661" w:rsidR="009D639C" w:rsidRPr="00403226" w:rsidRDefault="00122CD5" w:rsidP="00403226">
      <w:pPr>
        <w:spacing w:after="0"/>
        <w:rPr>
          <w:rFonts w:ascii="Arial" w:hAnsi="Arial" w:cs="Arial"/>
          <w:color w:val="000000"/>
        </w:rPr>
      </w:pPr>
      <w:r w:rsidRPr="00403226">
        <w:rPr>
          <w:rFonts w:ascii="Arial" w:hAnsi="Arial" w:cs="Arial"/>
          <w:color w:val="000000"/>
        </w:rPr>
        <w:t xml:space="preserve">This submission provides policy recommendations and supporting evidence </w:t>
      </w:r>
      <w:r w:rsidR="00D84F5E" w:rsidRPr="00403226">
        <w:rPr>
          <w:rFonts w:ascii="Arial" w:hAnsi="Arial" w:cs="Arial"/>
          <w:color w:val="000000"/>
        </w:rPr>
        <w:t xml:space="preserve">related to the following themes outlined in the consultation: </w:t>
      </w:r>
    </w:p>
    <w:p w14:paraId="183431CD" w14:textId="5EE2B3AB" w:rsidR="00D84F5E" w:rsidRPr="00403226" w:rsidRDefault="00D84F5E" w:rsidP="00403226">
      <w:pPr>
        <w:pStyle w:val="Default"/>
        <w:numPr>
          <w:ilvl w:val="0"/>
          <w:numId w:val="11"/>
        </w:numPr>
        <w:rPr>
          <w:sz w:val="22"/>
          <w:szCs w:val="22"/>
        </w:rPr>
      </w:pPr>
      <w:r w:rsidRPr="00403226">
        <w:rPr>
          <w:sz w:val="22"/>
          <w:szCs w:val="22"/>
        </w:rPr>
        <w:t xml:space="preserve">Providing the Right Support </w:t>
      </w:r>
    </w:p>
    <w:p w14:paraId="3A139B1C" w14:textId="4B96C07A" w:rsidR="00D84F5E" w:rsidRPr="00403226" w:rsidRDefault="00D84F5E" w:rsidP="00403226">
      <w:pPr>
        <w:pStyle w:val="Default"/>
        <w:numPr>
          <w:ilvl w:val="0"/>
          <w:numId w:val="11"/>
        </w:numPr>
        <w:rPr>
          <w:sz w:val="22"/>
          <w:szCs w:val="22"/>
        </w:rPr>
      </w:pPr>
      <w:r w:rsidRPr="00403226">
        <w:rPr>
          <w:sz w:val="22"/>
          <w:szCs w:val="22"/>
        </w:rPr>
        <w:t>Improving Employment Support</w:t>
      </w:r>
    </w:p>
    <w:p w14:paraId="7162D3C5" w14:textId="77632965" w:rsidR="00403226" w:rsidRPr="00403226" w:rsidRDefault="00403226" w:rsidP="00403226">
      <w:pPr>
        <w:pStyle w:val="Default"/>
        <w:numPr>
          <w:ilvl w:val="0"/>
          <w:numId w:val="11"/>
        </w:numPr>
        <w:rPr>
          <w:sz w:val="22"/>
          <w:szCs w:val="22"/>
        </w:rPr>
      </w:pPr>
      <w:r w:rsidRPr="00403226">
        <w:rPr>
          <w:sz w:val="22"/>
          <w:szCs w:val="22"/>
        </w:rPr>
        <w:t>Exploring Ways to Improve the Design of the Benefits system</w:t>
      </w:r>
    </w:p>
    <w:p w14:paraId="094D66AB" w14:textId="77777777" w:rsidR="000424F3" w:rsidRPr="009F3853" w:rsidRDefault="000424F3" w:rsidP="00403226">
      <w:pPr>
        <w:pStyle w:val="Default"/>
        <w:rPr>
          <w:b/>
          <w:bCs/>
          <w:sz w:val="22"/>
          <w:szCs w:val="22"/>
        </w:rPr>
      </w:pPr>
    </w:p>
    <w:p w14:paraId="3F98AC5C" w14:textId="0D286229" w:rsidR="00A40367" w:rsidRPr="009F3853" w:rsidRDefault="002D39DD" w:rsidP="00CC51DA">
      <w:pPr>
        <w:pStyle w:val="Default"/>
        <w:rPr>
          <w:sz w:val="22"/>
          <w:szCs w:val="22"/>
          <w:u w:val="single"/>
        </w:rPr>
      </w:pPr>
      <w:r w:rsidRPr="009F3853">
        <w:rPr>
          <w:b/>
          <w:bCs/>
          <w:sz w:val="22"/>
          <w:szCs w:val="22"/>
          <w:u w:val="single"/>
        </w:rPr>
        <w:t xml:space="preserve">Theme </w:t>
      </w:r>
      <w:r w:rsidR="00A40367" w:rsidRPr="009F3853">
        <w:rPr>
          <w:b/>
          <w:bCs/>
          <w:sz w:val="22"/>
          <w:szCs w:val="22"/>
          <w:u w:val="single"/>
        </w:rPr>
        <w:t xml:space="preserve">1: Providing the Right Support </w:t>
      </w:r>
    </w:p>
    <w:p w14:paraId="5F191B10" w14:textId="14C452B9" w:rsidR="00A40367" w:rsidRPr="009F3853" w:rsidRDefault="00A40367" w:rsidP="00CC51DA">
      <w:pPr>
        <w:pStyle w:val="Default"/>
        <w:numPr>
          <w:ilvl w:val="0"/>
          <w:numId w:val="1"/>
        </w:numPr>
        <w:rPr>
          <w:sz w:val="22"/>
          <w:szCs w:val="22"/>
        </w:rPr>
      </w:pPr>
      <w:r w:rsidRPr="009F3853">
        <w:rPr>
          <w:sz w:val="22"/>
          <w:szCs w:val="22"/>
        </w:rPr>
        <w:t xml:space="preserve">What more could we do to improve reasonable adjustments to make sure that our services are accessible to disabled people? </w:t>
      </w:r>
    </w:p>
    <w:p w14:paraId="61302641" w14:textId="1574FEDE" w:rsidR="00A40367" w:rsidRPr="009F3853" w:rsidRDefault="00A40367" w:rsidP="00CC51DA">
      <w:pPr>
        <w:pStyle w:val="Default"/>
        <w:numPr>
          <w:ilvl w:val="0"/>
          <w:numId w:val="1"/>
        </w:numPr>
        <w:rPr>
          <w:sz w:val="22"/>
          <w:szCs w:val="22"/>
        </w:rPr>
      </w:pPr>
      <w:r w:rsidRPr="009F3853">
        <w:rPr>
          <w:sz w:val="22"/>
          <w:szCs w:val="22"/>
        </w:rPr>
        <w:t xml:space="preserve">What more information, advice or signposting is needed and how should this be provided? </w:t>
      </w:r>
    </w:p>
    <w:p w14:paraId="2A6B5382" w14:textId="77777777" w:rsidR="005B7512" w:rsidRPr="009F3853" w:rsidRDefault="005B7512" w:rsidP="00CC51DA">
      <w:pPr>
        <w:pStyle w:val="Default"/>
        <w:rPr>
          <w:sz w:val="22"/>
          <w:szCs w:val="22"/>
        </w:rPr>
      </w:pPr>
    </w:p>
    <w:p w14:paraId="4642CC0F" w14:textId="7CC78BF3" w:rsidR="00BF7FC3" w:rsidRPr="009F3853" w:rsidRDefault="00BF7FC3" w:rsidP="00CC51DA">
      <w:pPr>
        <w:pStyle w:val="Default"/>
        <w:rPr>
          <w:b/>
          <w:bCs/>
          <w:sz w:val="22"/>
          <w:szCs w:val="22"/>
        </w:rPr>
      </w:pPr>
      <w:r w:rsidRPr="009F3853">
        <w:rPr>
          <w:b/>
          <w:bCs/>
          <w:sz w:val="22"/>
          <w:szCs w:val="22"/>
        </w:rPr>
        <w:t xml:space="preserve">Recommendation </w:t>
      </w:r>
    </w:p>
    <w:p w14:paraId="0B9B3032" w14:textId="64C7529E" w:rsidR="00BF7FC3" w:rsidRPr="009F3853" w:rsidRDefault="00BF7FC3" w:rsidP="00CC51DA">
      <w:pPr>
        <w:pStyle w:val="Default"/>
        <w:rPr>
          <w:sz w:val="22"/>
          <w:szCs w:val="22"/>
        </w:rPr>
      </w:pPr>
      <w:r w:rsidRPr="009F3853">
        <w:rPr>
          <w:sz w:val="22"/>
          <w:szCs w:val="22"/>
        </w:rPr>
        <w:t>Communications campaigns targeting employers should include content specific to musculoskeletal conditions and how to protect good musculoskeletal health in the workplace, whilst also emphasising the co-dependency between physical and mental health.</w:t>
      </w:r>
      <w:r w:rsidR="004D3343" w:rsidRPr="009F3853">
        <w:rPr>
          <w:sz w:val="22"/>
          <w:szCs w:val="22"/>
        </w:rPr>
        <w:t xml:space="preserve"> </w:t>
      </w:r>
      <w:r w:rsidR="00C91EF8" w:rsidRPr="009F3853">
        <w:rPr>
          <w:sz w:val="22"/>
          <w:szCs w:val="22"/>
        </w:rPr>
        <w:t>Given the impact of COVID-19 on</w:t>
      </w:r>
      <w:r w:rsidR="005E1273" w:rsidRPr="009F3853">
        <w:rPr>
          <w:sz w:val="22"/>
          <w:szCs w:val="22"/>
        </w:rPr>
        <w:t xml:space="preserve"> people’s working patterns, s</w:t>
      </w:r>
      <w:r w:rsidR="00EA329C" w:rsidRPr="009F3853">
        <w:rPr>
          <w:sz w:val="22"/>
          <w:szCs w:val="22"/>
        </w:rPr>
        <w:t xml:space="preserve">pecific guidance should be provided </w:t>
      </w:r>
      <w:r w:rsidR="00C91EF8" w:rsidRPr="009F3853">
        <w:rPr>
          <w:sz w:val="22"/>
          <w:szCs w:val="22"/>
        </w:rPr>
        <w:t xml:space="preserve">on how employers can support </w:t>
      </w:r>
      <w:r w:rsidR="005E1273" w:rsidRPr="009F3853">
        <w:rPr>
          <w:sz w:val="22"/>
          <w:szCs w:val="22"/>
        </w:rPr>
        <w:t xml:space="preserve">the musculoskeletal health of </w:t>
      </w:r>
      <w:r w:rsidR="00C91EF8" w:rsidRPr="009F3853">
        <w:rPr>
          <w:sz w:val="22"/>
          <w:szCs w:val="22"/>
        </w:rPr>
        <w:t>employees work</w:t>
      </w:r>
      <w:r w:rsidR="00654C53" w:rsidRPr="009F3853">
        <w:rPr>
          <w:sz w:val="22"/>
          <w:szCs w:val="22"/>
        </w:rPr>
        <w:t>ing</w:t>
      </w:r>
      <w:r w:rsidR="00C91EF8" w:rsidRPr="009F3853">
        <w:rPr>
          <w:sz w:val="22"/>
          <w:szCs w:val="22"/>
        </w:rPr>
        <w:t xml:space="preserve"> from home</w:t>
      </w:r>
      <w:r w:rsidR="005E1273" w:rsidRPr="009F3853">
        <w:rPr>
          <w:sz w:val="22"/>
          <w:szCs w:val="22"/>
        </w:rPr>
        <w:t>.</w:t>
      </w:r>
      <w:r w:rsidR="00EA329C" w:rsidRPr="009F3853">
        <w:rPr>
          <w:sz w:val="22"/>
          <w:szCs w:val="22"/>
        </w:rPr>
        <w:t xml:space="preserve"> </w:t>
      </w:r>
    </w:p>
    <w:p w14:paraId="5B94B259" w14:textId="77777777" w:rsidR="00BF7FC3" w:rsidRPr="009F3853" w:rsidRDefault="00BF7FC3" w:rsidP="00CC51DA">
      <w:pPr>
        <w:pStyle w:val="Default"/>
        <w:rPr>
          <w:b/>
          <w:bCs/>
          <w:sz w:val="22"/>
          <w:szCs w:val="22"/>
        </w:rPr>
      </w:pPr>
    </w:p>
    <w:p w14:paraId="728AE568" w14:textId="77777777" w:rsidR="00BF7FC3" w:rsidRPr="009F3853" w:rsidRDefault="00BF7FC3" w:rsidP="00CC51DA">
      <w:pPr>
        <w:pStyle w:val="Default"/>
        <w:rPr>
          <w:b/>
          <w:bCs/>
          <w:sz w:val="22"/>
          <w:szCs w:val="22"/>
        </w:rPr>
      </w:pPr>
      <w:r w:rsidRPr="009F3853">
        <w:rPr>
          <w:b/>
          <w:bCs/>
          <w:sz w:val="22"/>
          <w:szCs w:val="22"/>
        </w:rPr>
        <w:t>Context</w:t>
      </w:r>
    </w:p>
    <w:p w14:paraId="7639FAAE" w14:textId="1A684E0C" w:rsidR="00814E12" w:rsidRPr="009F3853" w:rsidRDefault="00814E12" w:rsidP="00CC51DA">
      <w:pPr>
        <w:pStyle w:val="Default"/>
        <w:numPr>
          <w:ilvl w:val="0"/>
          <w:numId w:val="6"/>
        </w:numPr>
        <w:rPr>
          <w:sz w:val="22"/>
          <w:szCs w:val="22"/>
        </w:rPr>
      </w:pPr>
      <w:r w:rsidRPr="009F3853">
        <w:rPr>
          <w:sz w:val="22"/>
          <w:szCs w:val="22"/>
        </w:rPr>
        <w:t>Employers have a legal duty to provide safe workplaces that do not adversely affect employees’ health (under the Health and Safety at Work Act 1974 and the Management of Health and Safety at Work Regulations 1999).</w:t>
      </w:r>
      <w:r w:rsidR="00172254" w:rsidRPr="009F3853">
        <w:rPr>
          <w:rStyle w:val="EndnoteReference"/>
          <w:sz w:val="22"/>
          <w:szCs w:val="22"/>
        </w:rPr>
        <w:endnoteReference w:id="2"/>
      </w:r>
      <w:r w:rsidRPr="009F3853">
        <w:rPr>
          <w:sz w:val="22"/>
          <w:szCs w:val="22"/>
        </w:rPr>
        <w:t xml:space="preserve"> </w:t>
      </w:r>
    </w:p>
    <w:p w14:paraId="6CFD6E26" w14:textId="5F9F59EC" w:rsidR="001919BA" w:rsidRPr="009F3853" w:rsidRDefault="001919BA" w:rsidP="00CC51DA">
      <w:pPr>
        <w:pStyle w:val="Default"/>
        <w:numPr>
          <w:ilvl w:val="0"/>
          <w:numId w:val="6"/>
        </w:numPr>
        <w:rPr>
          <w:sz w:val="22"/>
          <w:szCs w:val="22"/>
        </w:rPr>
      </w:pPr>
      <w:r w:rsidRPr="009F3853">
        <w:rPr>
          <w:sz w:val="22"/>
          <w:szCs w:val="22"/>
        </w:rPr>
        <w:t>Musculoskeletal conditions fall within the scope of disability as defined under the Equality Act 2010, as they can have a substantial and long-term adverse effect on people’s ability to carry out normal day-to-day activities, even when the condition is fluctuating.</w:t>
      </w:r>
      <w:r w:rsidRPr="009F3853">
        <w:rPr>
          <w:rStyle w:val="EndnoteReference"/>
          <w:sz w:val="22"/>
          <w:szCs w:val="22"/>
        </w:rPr>
        <w:endnoteReference w:id="3"/>
      </w:r>
      <w:r w:rsidRPr="009F3853">
        <w:rPr>
          <w:sz w:val="22"/>
          <w:szCs w:val="22"/>
        </w:rPr>
        <w:t xml:space="preserve"> </w:t>
      </w:r>
    </w:p>
    <w:p w14:paraId="3D104B30" w14:textId="6E2DC578" w:rsidR="00D46111" w:rsidRPr="009F3853" w:rsidRDefault="00BF7FC3" w:rsidP="00CC51DA">
      <w:pPr>
        <w:pStyle w:val="Default"/>
        <w:numPr>
          <w:ilvl w:val="0"/>
          <w:numId w:val="6"/>
        </w:numPr>
        <w:rPr>
          <w:sz w:val="22"/>
          <w:szCs w:val="22"/>
        </w:rPr>
      </w:pPr>
      <w:r w:rsidRPr="009F3853">
        <w:rPr>
          <w:sz w:val="22"/>
          <w:szCs w:val="22"/>
        </w:rPr>
        <w:t>Musculoskeletal conditions are the single biggest cause of pain and disability in the UK, and it’s estimated that 1 in 10 employees in the UK have a musculoskeletal-related problem</w:t>
      </w:r>
      <w:r w:rsidR="00173476" w:rsidRPr="009F3853">
        <w:rPr>
          <w:sz w:val="22"/>
          <w:szCs w:val="22"/>
        </w:rPr>
        <w:t>.</w:t>
      </w:r>
      <w:bookmarkStart w:id="0" w:name="_Ref80108637"/>
      <w:r w:rsidR="00D46111" w:rsidRPr="009F3853">
        <w:rPr>
          <w:rStyle w:val="EndnoteReference"/>
          <w:sz w:val="22"/>
          <w:szCs w:val="22"/>
        </w:rPr>
        <w:endnoteReference w:id="4"/>
      </w:r>
      <w:bookmarkEnd w:id="0"/>
      <w:r w:rsidR="00173476" w:rsidRPr="009F3853">
        <w:rPr>
          <w:sz w:val="22"/>
          <w:szCs w:val="22"/>
        </w:rPr>
        <w:t xml:space="preserve"> </w:t>
      </w:r>
    </w:p>
    <w:p w14:paraId="08026106" w14:textId="6100720D" w:rsidR="00BF7FC3" w:rsidRPr="009F3853" w:rsidRDefault="00BF7FC3" w:rsidP="00CC51DA">
      <w:pPr>
        <w:pStyle w:val="Default"/>
        <w:numPr>
          <w:ilvl w:val="0"/>
          <w:numId w:val="6"/>
        </w:numPr>
        <w:rPr>
          <w:sz w:val="22"/>
          <w:szCs w:val="22"/>
        </w:rPr>
      </w:pPr>
      <w:r w:rsidRPr="009F3853">
        <w:rPr>
          <w:sz w:val="22"/>
          <w:szCs w:val="22"/>
        </w:rPr>
        <w:t>The prevalence of musculoskeletal conditions in the workforce is also set to increase as the populations ages.</w:t>
      </w:r>
      <w:r w:rsidR="002C04EC" w:rsidRPr="009F3853">
        <w:rPr>
          <w:sz w:val="22"/>
          <w:szCs w:val="22"/>
        </w:rPr>
        <w:fldChar w:fldCharType="begin"/>
      </w:r>
      <w:r w:rsidR="002C04EC" w:rsidRPr="009F3853">
        <w:rPr>
          <w:sz w:val="22"/>
          <w:szCs w:val="22"/>
        </w:rPr>
        <w:instrText xml:space="preserve"> NOTEREF _Ref80108637 \f \h </w:instrText>
      </w:r>
      <w:r w:rsidR="009F3853" w:rsidRPr="009F3853">
        <w:rPr>
          <w:sz w:val="22"/>
          <w:szCs w:val="22"/>
        </w:rPr>
        <w:instrText xml:space="preserve"> \* MERGEFORMAT </w:instrText>
      </w:r>
      <w:r w:rsidR="002C04EC" w:rsidRPr="009F3853">
        <w:rPr>
          <w:sz w:val="22"/>
          <w:szCs w:val="22"/>
        </w:rPr>
      </w:r>
      <w:r w:rsidR="002C04EC" w:rsidRPr="009F3853">
        <w:rPr>
          <w:sz w:val="22"/>
          <w:szCs w:val="22"/>
        </w:rPr>
        <w:fldChar w:fldCharType="separate"/>
      </w:r>
      <w:r w:rsidR="0026190E" w:rsidRPr="0026190E">
        <w:rPr>
          <w:rStyle w:val="EndnoteReference"/>
          <w:sz w:val="22"/>
          <w:szCs w:val="22"/>
        </w:rPr>
        <w:t>3</w:t>
      </w:r>
      <w:r w:rsidR="002C04EC" w:rsidRPr="009F3853">
        <w:rPr>
          <w:sz w:val="22"/>
          <w:szCs w:val="22"/>
        </w:rPr>
        <w:fldChar w:fldCharType="end"/>
      </w:r>
      <w:r w:rsidRPr="009F3853">
        <w:rPr>
          <w:sz w:val="22"/>
          <w:szCs w:val="22"/>
        </w:rPr>
        <w:t xml:space="preserve"> </w:t>
      </w:r>
    </w:p>
    <w:p w14:paraId="5E50DCDF" w14:textId="6C051034" w:rsidR="00BF7FC3" w:rsidRPr="009F3853" w:rsidRDefault="00BF7FC3" w:rsidP="00CC51DA">
      <w:pPr>
        <w:pStyle w:val="Default"/>
        <w:numPr>
          <w:ilvl w:val="0"/>
          <w:numId w:val="6"/>
        </w:numPr>
        <w:rPr>
          <w:sz w:val="22"/>
          <w:szCs w:val="22"/>
        </w:rPr>
      </w:pPr>
      <w:r w:rsidRPr="009F3853">
        <w:rPr>
          <w:sz w:val="22"/>
          <w:szCs w:val="22"/>
        </w:rPr>
        <w:t>In 2018, 27.8 million working days were lost due to musculoskeletal problems; the highest number for any long-term health condition measured.</w:t>
      </w:r>
      <w:bookmarkStart w:id="1" w:name="_Ref80109583"/>
      <w:r w:rsidR="00EA6DC2" w:rsidRPr="009F3853">
        <w:rPr>
          <w:rStyle w:val="EndnoteReference"/>
          <w:sz w:val="22"/>
          <w:szCs w:val="22"/>
        </w:rPr>
        <w:endnoteReference w:id="5"/>
      </w:r>
      <w:bookmarkEnd w:id="1"/>
      <w:r w:rsidRPr="009F3853">
        <w:rPr>
          <w:sz w:val="22"/>
          <w:szCs w:val="22"/>
        </w:rPr>
        <w:t xml:space="preserve"> </w:t>
      </w:r>
    </w:p>
    <w:p w14:paraId="5F3651F8" w14:textId="6D8A72C0" w:rsidR="00BF7FC3" w:rsidRPr="009F3853" w:rsidRDefault="00BF7FC3" w:rsidP="00CC51DA">
      <w:pPr>
        <w:pStyle w:val="Default"/>
        <w:numPr>
          <w:ilvl w:val="0"/>
          <w:numId w:val="6"/>
        </w:numPr>
        <w:rPr>
          <w:sz w:val="22"/>
          <w:szCs w:val="22"/>
        </w:rPr>
      </w:pPr>
      <w:r w:rsidRPr="009F3853">
        <w:rPr>
          <w:sz w:val="22"/>
          <w:szCs w:val="22"/>
        </w:rPr>
        <w:t xml:space="preserve">Many musculoskeletal problems can be avoided through </w:t>
      </w:r>
      <w:r w:rsidR="00B57B13" w:rsidRPr="009F3853">
        <w:rPr>
          <w:sz w:val="22"/>
          <w:szCs w:val="22"/>
        </w:rPr>
        <w:t xml:space="preserve">taking </w:t>
      </w:r>
      <w:r w:rsidRPr="009F3853">
        <w:rPr>
          <w:sz w:val="22"/>
          <w:szCs w:val="22"/>
        </w:rPr>
        <w:t>effective preventative</w:t>
      </w:r>
      <w:r w:rsidR="0046185D" w:rsidRPr="009F3853">
        <w:rPr>
          <w:sz w:val="22"/>
          <w:szCs w:val="22"/>
        </w:rPr>
        <w:t xml:space="preserve"> measures</w:t>
      </w:r>
      <w:r w:rsidRPr="009F3853">
        <w:rPr>
          <w:sz w:val="22"/>
          <w:szCs w:val="22"/>
        </w:rPr>
        <w:t xml:space="preserve">, including actions employers can take to support their employees’ musculoskeletal health and stop long-term musculoskeletal problems from developing. </w:t>
      </w:r>
    </w:p>
    <w:p w14:paraId="41F373B5" w14:textId="6014E1E3" w:rsidR="00BF7FC3" w:rsidRPr="009F3853" w:rsidRDefault="00BF7FC3" w:rsidP="00CC51DA">
      <w:pPr>
        <w:pStyle w:val="Default"/>
        <w:numPr>
          <w:ilvl w:val="0"/>
          <w:numId w:val="6"/>
        </w:numPr>
        <w:rPr>
          <w:sz w:val="22"/>
          <w:szCs w:val="22"/>
        </w:rPr>
      </w:pPr>
      <w:r w:rsidRPr="009F3853">
        <w:rPr>
          <w:sz w:val="22"/>
          <w:szCs w:val="22"/>
        </w:rPr>
        <w:t>Although a range of resources are available on how to maintain good musculoskeletal health in the workplace and support those with existing musculoskeletal conditions,</w:t>
      </w:r>
      <w:r w:rsidR="004E00AC" w:rsidRPr="009F3853">
        <w:rPr>
          <w:sz w:val="22"/>
          <w:szCs w:val="22"/>
        </w:rPr>
        <w:t xml:space="preserve"> such as the Musculoskeletal Health in the Workplace Employer Toolkit,</w:t>
      </w:r>
      <w:bookmarkStart w:id="2" w:name="_Ref80110524"/>
      <w:r w:rsidR="004E00AC" w:rsidRPr="009F3853">
        <w:rPr>
          <w:rStyle w:val="EndnoteReference"/>
          <w:sz w:val="22"/>
          <w:szCs w:val="22"/>
        </w:rPr>
        <w:endnoteReference w:id="6"/>
      </w:r>
      <w:bookmarkEnd w:id="2"/>
      <w:r w:rsidRPr="009F3853">
        <w:rPr>
          <w:sz w:val="22"/>
          <w:szCs w:val="22"/>
        </w:rPr>
        <w:t xml:space="preserve"> interventions such as </w:t>
      </w:r>
      <w:r w:rsidRPr="009F3853">
        <w:rPr>
          <w:sz w:val="22"/>
          <w:szCs w:val="22"/>
        </w:rPr>
        <w:lastRenderedPageBreak/>
        <w:t xml:space="preserve">line-manager awareness training and workplace health champions are </w:t>
      </w:r>
      <w:r w:rsidR="007C5C70" w:rsidRPr="009F3853">
        <w:rPr>
          <w:sz w:val="22"/>
          <w:szCs w:val="22"/>
        </w:rPr>
        <w:t xml:space="preserve">much </w:t>
      </w:r>
      <w:r w:rsidRPr="009F3853">
        <w:rPr>
          <w:sz w:val="22"/>
          <w:szCs w:val="22"/>
        </w:rPr>
        <w:t xml:space="preserve">less common for musculoskeletal conditions than </w:t>
      </w:r>
      <w:r w:rsidR="00783631" w:rsidRPr="009F3853">
        <w:rPr>
          <w:sz w:val="22"/>
          <w:szCs w:val="22"/>
        </w:rPr>
        <w:t xml:space="preserve">some </w:t>
      </w:r>
      <w:r w:rsidR="003A58F0" w:rsidRPr="009F3853">
        <w:rPr>
          <w:sz w:val="22"/>
          <w:szCs w:val="22"/>
        </w:rPr>
        <w:t xml:space="preserve">other conditions </w:t>
      </w:r>
      <w:r w:rsidR="00975CA8" w:rsidRPr="009F3853">
        <w:rPr>
          <w:sz w:val="22"/>
          <w:szCs w:val="22"/>
        </w:rPr>
        <w:t xml:space="preserve">such as </w:t>
      </w:r>
      <w:r w:rsidRPr="009F3853">
        <w:rPr>
          <w:sz w:val="22"/>
          <w:szCs w:val="22"/>
        </w:rPr>
        <w:t xml:space="preserve">cancer. </w:t>
      </w:r>
    </w:p>
    <w:p w14:paraId="33AAADB6" w14:textId="24906303" w:rsidR="00BF7FC3" w:rsidRPr="009F3853" w:rsidRDefault="00BF7FC3" w:rsidP="00CC51DA">
      <w:pPr>
        <w:pStyle w:val="Default"/>
        <w:numPr>
          <w:ilvl w:val="0"/>
          <w:numId w:val="6"/>
        </w:numPr>
        <w:rPr>
          <w:sz w:val="22"/>
          <w:szCs w:val="22"/>
        </w:rPr>
      </w:pPr>
      <w:r w:rsidRPr="009F3853">
        <w:rPr>
          <w:sz w:val="22"/>
          <w:szCs w:val="22"/>
        </w:rPr>
        <w:t>Part of this may be driven by a lack of awareness of the impact musculoskeletal health has on a person’s ability to work; a study in 2014 found that 28% of working people with arthritis felt their employer was not fully aware of their rights, and 29.5% of people with rheumatoid arthritis felt their employer did not understand enough about their conditions or support needs.</w:t>
      </w:r>
      <w:bookmarkStart w:id="3" w:name="_Ref80110472"/>
      <w:r w:rsidR="00A166D1" w:rsidRPr="009F3853">
        <w:rPr>
          <w:rStyle w:val="EndnoteReference"/>
          <w:sz w:val="22"/>
          <w:szCs w:val="22"/>
        </w:rPr>
        <w:endnoteReference w:id="7"/>
      </w:r>
      <w:bookmarkEnd w:id="3"/>
      <w:r w:rsidRPr="009F3853">
        <w:rPr>
          <w:sz w:val="22"/>
          <w:szCs w:val="22"/>
        </w:rPr>
        <w:t xml:space="preserve"> </w:t>
      </w:r>
    </w:p>
    <w:p w14:paraId="132DBFC6" w14:textId="3D813EF2" w:rsidR="00BF7FC3" w:rsidRPr="009F3853" w:rsidRDefault="00BF7FC3" w:rsidP="00CC51DA">
      <w:pPr>
        <w:pStyle w:val="Default"/>
        <w:numPr>
          <w:ilvl w:val="0"/>
          <w:numId w:val="6"/>
        </w:numPr>
        <w:rPr>
          <w:sz w:val="22"/>
          <w:szCs w:val="22"/>
        </w:rPr>
      </w:pPr>
      <w:r w:rsidRPr="009F3853">
        <w:rPr>
          <w:sz w:val="22"/>
          <w:szCs w:val="22"/>
        </w:rPr>
        <w:t>Given the current prevalence and projected increase in musculoskeletal conditions in the working age population, more employer guidance and support</w:t>
      </w:r>
      <w:r w:rsidR="00107754" w:rsidRPr="009F3853">
        <w:rPr>
          <w:sz w:val="22"/>
          <w:szCs w:val="22"/>
        </w:rPr>
        <w:t xml:space="preserve"> </w:t>
      </w:r>
      <w:r w:rsidR="00243B0F" w:rsidRPr="009F3853">
        <w:rPr>
          <w:sz w:val="22"/>
          <w:szCs w:val="22"/>
        </w:rPr>
        <w:t xml:space="preserve">from </w:t>
      </w:r>
      <w:r w:rsidR="005D0B01" w:rsidRPr="009F3853">
        <w:rPr>
          <w:sz w:val="22"/>
          <w:szCs w:val="22"/>
        </w:rPr>
        <w:t xml:space="preserve">bodies like </w:t>
      </w:r>
      <w:r w:rsidR="00243B0F" w:rsidRPr="009F3853">
        <w:rPr>
          <w:sz w:val="22"/>
          <w:szCs w:val="22"/>
        </w:rPr>
        <w:t>the Health &amp; Safety Executiv</w:t>
      </w:r>
      <w:r w:rsidR="002F1DF8" w:rsidRPr="009F3853">
        <w:rPr>
          <w:sz w:val="22"/>
          <w:szCs w:val="22"/>
        </w:rPr>
        <w:t>e</w:t>
      </w:r>
      <w:r w:rsidR="007A303E" w:rsidRPr="009F3853">
        <w:rPr>
          <w:sz w:val="22"/>
          <w:szCs w:val="22"/>
        </w:rPr>
        <w:t xml:space="preserve"> </w:t>
      </w:r>
      <w:r w:rsidRPr="009F3853">
        <w:rPr>
          <w:sz w:val="22"/>
          <w:szCs w:val="22"/>
        </w:rPr>
        <w:t xml:space="preserve">needs to actively highlight </w:t>
      </w:r>
      <w:r w:rsidR="00B0505D" w:rsidRPr="009F3853">
        <w:rPr>
          <w:sz w:val="22"/>
          <w:szCs w:val="22"/>
        </w:rPr>
        <w:t xml:space="preserve">the importance of </w:t>
      </w:r>
      <w:r w:rsidR="00904CE4" w:rsidRPr="009F3853">
        <w:rPr>
          <w:sz w:val="22"/>
          <w:szCs w:val="22"/>
        </w:rPr>
        <w:t xml:space="preserve">supporting </w:t>
      </w:r>
      <w:r w:rsidRPr="009F3853">
        <w:rPr>
          <w:sz w:val="22"/>
          <w:szCs w:val="22"/>
        </w:rPr>
        <w:t>musculoskeletal health</w:t>
      </w:r>
      <w:r w:rsidR="002F1DF8" w:rsidRPr="009F3853">
        <w:rPr>
          <w:sz w:val="22"/>
          <w:szCs w:val="22"/>
        </w:rPr>
        <w:t xml:space="preserve"> in the workplace</w:t>
      </w:r>
      <w:r w:rsidR="00904CE4" w:rsidRPr="009F3853">
        <w:rPr>
          <w:sz w:val="22"/>
          <w:szCs w:val="22"/>
        </w:rPr>
        <w:t>,</w:t>
      </w:r>
      <w:r w:rsidRPr="009F3853">
        <w:rPr>
          <w:sz w:val="22"/>
          <w:szCs w:val="22"/>
        </w:rPr>
        <w:t xml:space="preserve"> </w:t>
      </w:r>
      <w:r w:rsidR="00904CE4" w:rsidRPr="009F3853">
        <w:rPr>
          <w:sz w:val="22"/>
          <w:szCs w:val="22"/>
        </w:rPr>
        <w:t xml:space="preserve">and </w:t>
      </w:r>
      <w:r w:rsidR="00780DFA" w:rsidRPr="009F3853">
        <w:rPr>
          <w:sz w:val="22"/>
          <w:szCs w:val="22"/>
        </w:rPr>
        <w:t xml:space="preserve">to </w:t>
      </w:r>
      <w:r w:rsidR="00904CE4" w:rsidRPr="009F3853">
        <w:rPr>
          <w:sz w:val="22"/>
          <w:szCs w:val="22"/>
        </w:rPr>
        <w:t xml:space="preserve">sign post </w:t>
      </w:r>
      <w:r w:rsidR="00780DFA" w:rsidRPr="009F3853">
        <w:rPr>
          <w:sz w:val="22"/>
          <w:szCs w:val="22"/>
        </w:rPr>
        <w:t xml:space="preserve">employers </w:t>
      </w:r>
      <w:r w:rsidR="00904CE4" w:rsidRPr="009F3853">
        <w:rPr>
          <w:sz w:val="22"/>
          <w:szCs w:val="22"/>
        </w:rPr>
        <w:t xml:space="preserve">to existing </w:t>
      </w:r>
      <w:r w:rsidRPr="009F3853">
        <w:rPr>
          <w:sz w:val="22"/>
          <w:szCs w:val="22"/>
        </w:rPr>
        <w:t xml:space="preserve">information and resources to improve </w:t>
      </w:r>
      <w:r w:rsidR="00714AB5" w:rsidRPr="009F3853">
        <w:rPr>
          <w:sz w:val="22"/>
          <w:szCs w:val="22"/>
        </w:rPr>
        <w:t xml:space="preserve">their </w:t>
      </w:r>
      <w:r w:rsidRPr="009F3853">
        <w:rPr>
          <w:sz w:val="22"/>
          <w:szCs w:val="22"/>
        </w:rPr>
        <w:t xml:space="preserve">awareness of the issue.   </w:t>
      </w:r>
    </w:p>
    <w:p w14:paraId="1AE4B1CF" w14:textId="40F0A957" w:rsidR="00BF7FC3" w:rsidRPr="009F3853" w:rsidRDefault="00466957" w:rsidP="00CC51DA">
      <w:pPr>
        <w:pStyle w:val="Default"/>
        <w:numPr>
          <w:ilvl w:val="0"/>
          <w:numId w:val="6"/>
        </w:numPr>
        <w:ind w:left="357" w:hanging="357"/>
        <w:rPr>
          <w:sz w:val="22"/>
          <w:szCs w:val="22"/>
        </w:rPr>
      </w:pPr>
      <w:r w:rsidRPr="009F3853">
        <w:rPr>
          <w:sz w:val="22"/>
          <w:szCs w:val="22"/>
        </w:rPr>
        <w:t xml:space="preserve">A </w:t>
      </w:r>
      <w:r w:rsidR="002735DF" w:rsidRPr="009F3853">
        <w:rPr>
          <w:sz w:val="22"/>
          <w:szCs w:val="22"/>
        </w:rPr>
        <w:t xml:space="preserve">stronger focus </w:t>
      </w:r>
      <w:r w:rsidR="004950FE" w:rsidRPr="009F3853">
        <w:rPr>
          <w:sz w:val="22"/>
          <w:szCs w:val="22"/>
        </w:rPr>
        <w:t>in g</w:t>
      </w:r>
      <w:r w:rsidR="00964828" w:rsidRPr="009F3853">
        <w:rPr>
          <w:sz w:val="22"/>
          <w:szCs w:val="22"/>
        </w:rPr>
        <w:t xml:space="preserve">uidance </w:t>
      </w:r>
      <w:r w:rsidR="007F3C85" w:rsidRPr="009F3853">
        <w:rPr>
          <w:sz w:val="22"/>
          <w:szCs w:val="22"/>
        </w:rPr>
        <w:t xml:space="preserve">to employers </w:t>
      </w:r>
      <w:r w:rsidR="00BF7FC3" w:rsidRPr="009F3853">
        <w:rPr>
          <w:sz w:val="22"/>
          <w:szCs w:val="22"/>
        </w:rPr>
        <w:t>on</w:t>
      </w:r>
      <w:r w:rsidR="00964828" w:rsidRPr="009F3853">
        <w:rPr>
          <w:sz w:val="22"/>
          <w:szCs w:val="22"/>
        </w:rPr>
        <w:t xml:space="preserve"> </w:t>
      </w:r>
      <w:r w:rsidR="00BF7FC3" w:rsidRPr="009F3853">
        <w:rPr>
          <w:sz w:val="22"/>
          <w:szCs w:val="22"/>
        </w:rPr>
        <w:t>support</w:t>
      </w:r>
      <w:r w:rsidR="000C7282" w:rsidRPr="009F3853">
        <w:rPr>
          <w:sz w:val="22"/>
          <w:szCs w:val="22"/>
        </w:rPr>
        <w:t>ing</w:t>
      </w:r>
      <w:r w:rsidR="00BF7FC3" w:rsidRPr="009F3853">
        <w:rPr>
          <w:sz w:val="22"/>
          <w:szCs w:val="22"/>
        </w:rPr>
        <w:t xml:space="preserve"> people with comorbid physical and mental health conditions is als</w:t>
      </w:r>
      <w:r w:rsidRPr="009F3853">
        <w:rPr>
          <w:sz w:val="22"/>
          <w:szCs w:val="22"/>
        </w:rPr>
        <w:t>o needed</w:t>
      </w:r>
      <w:r w:rsidR="007560F6" w:rsidRPr="009F3853">
        <w:rPr>
          <w:sz w:val="22"/>
          <w:szCs w:val="22"/>
        </w:rPr>
        <w:t>, as n</w:t>
      </w:r>
      <w:r w:rsidR="00BF7FC3" w:rsidRPr="009F3853">
        <w:rPr>
          <w:sz w:val="22"/>
          <w:szCs w:val="22"/>
        </w:rPr>
        <w:t>early four in ten people with multimorbidity are living with both a physical and a mental health condition.</w:t>
      </w:r>
      <w:r w:rsidR="0030355C" w:rsidRPr="009F3853">
        <w:rPr>
          <w:rStyle w:val="EndnoteReference"/>
          <w:sz w:val="22"/>
          <w:szCs w:val="22"/>
        </w:rPr>
        <w:endnoteReference w:id="8"/>
      </w:r>
    </w:p>
    <w:p w14:paraId="5286054D" w14:textId="2F5C0C52" w:rsidR="00BF7FC3" w:rsidRPr="009F3853" w:rsidRDefault="00BF7FC3" w:rsidP="00CC51DA">
      <w:pPr>
        <w:pStyle w:val="Default"/>
        <w:numPr>
          <w:ilvl w:val="0"/>
          <w:numId w:val="6"/>
        </w:numPr>
        <w:rPr>
          <w:sz w:val="22"/>
          <w:szCs w:val="22"/>
        </w:rPr>
      </w:pPr>
      <w:r w:rsidRPr="009F3853">
        <w:rPr>
          <w:sz w:val="22"/>
          <w:szCs w:val="22"/>
        </w:rPr>
        <w:t>It is well established that musculoskeletal conditions and mental health are closely linked; those living with musculoskeletal problems are significantly more likely to report experiencing poor mental health</w:t>
      </w:r>
      <w:r w:rsidR="00251792" w:rsidRPr="009F3853">
        <w:rPr>
          <w:sz w:val="22"/>
          <w:szCs w:val="22"/>
        </w:rPr>
        <w:t>, often</w:t>
      </w:r>
      <w:r w:rsidR="004C73B3" w:rsidRPr="009F3853">
        <w:rPr>
          <w:sz w:val="22"/>
          <w:szCs w:val="22"/>
        </w:rPr>
        <w:t xml:space="preserve"> as a result of </w:t>
      </w:r>
      <w:r w:rsidR="000078F0" w:rsidRPr="009F3853">
        <w:rPr>
          <w:sz w:val="22"/>
          <w:szCs w:val="22"/>
        </w:rPr>
        <w:t xml:space="preserve">living with </w:t>
      </w:r>
      <w:r w:rsidR="00112A1E" w:rsidRPr="009F3853">
        <w:rPr>
          <w:sz w:val="22"/>
          <w:szCs w:val="22"/>
        </w:rPr>
        <w:t xml:space="preserve">chronic </w:t>
      </w:r>
      <w:r w:rsidR="00251792" w:rsidRPr="009F3853">
        <w:rPr>
          <w:sz w:val="22"/>
          <w:szCs w:val="22"/>
        </w:rPr>
        <w:t>pain,</w:t>
      </w:r>
      <w:r w:rsidR="00A933F5" w:rsidRPr="009F3853">
        <w:rPr>
          <w:rStyle w:val="EndnoteReference"/>
          <w:sz w:val="22"/>
          <w:szCs w:val="22"/>
        </w:rPr>
        <w:endnoteReference w:id="9"/>
      </w:r>
      <w:r w:rsidRPr="009F3853">
        <w:rPr>
          <w:sz w:val="22"/>
          <w:szCs w:val="22"/>
        </w:rPr>
        <w:t xml:space="preserve"> and</w:t>
      </w:r>
      <w:r w:rsidR="00112A1E" w:rsidRPr="009F3853">
        <w:rPr>
          <w:sz w:val="22"/>
          <w:szCs w:val="22"/>
        </w:rPr>
        <w:t xml:space="preserve"> </w:t>
      </w:r>
      <w:r w:rsidRPr="009F3853">
        <w:rPr>
          <w:sz w:val="22"/>
          <w:szCs w:val="22"/>
        </w:rPr>
        <w:t>are at an increased risk of developing a comorbid long-term mental health condition, such as anxiety or depression.</w:t>
      </w:r>
      <w:r w:rsidR="000078F0" w:rsidRPr="009F3853">
        <w:rPr>
          <w:sz w:val="22"/>
          <w:szCs w:val="22"/>
        </w:rPr>
        <w:fldChar w:fldCharType="begin"/>
      </w:r>
      <w:r w:rsidR="000078F0" w:rsidRPr="009F3853">
        <w:rPr>
          <w:sz w:val="22"/>
          <w:szCs w:val="22"/>
        </w:rPr>
        <w:instrText xml:space="preserve"> NOTEREF _Ref80108637 \f \h </w:instrText>
      </w:r>
      <w:r w:rsidR="009F3853" w:rsidRPr="009F3853">
        <w:rPr>
          <w:sz w:val="22"/>
          <w:szCs w:val="22"/>
        </w:rPr>
        <w:instrText xml:space="preserve"> \* MERGEFORMAT </w:instrText>
      </w:r>
      <w:r w:rsidR="000078F0" w:rsidRPr="009F3853">
        <w:rPr>
          <w:sz w:val="22"/>
          <w:szCs w:val="22"/>
        </w:rPr>
      </w:r>
      <w:r w:rsidR="000078F0" w:rsidRPr="009F3853">
        <w:rPr>
          <w:sz w:val="22"/>
          <w:szCs w:val="22"/>
        </w:rPr>
        <w:fldChar w:fldCharType="separate"/>
      </w:r>
      <w:r w:rsidR="0026190E" w:rsidRPr="0026190E">
        <w:rPr>
          <w:rStyle w:val="EndnoteReference"/>
          <w:sz w:val="22"/>
          <w:szCs w:val="22"/>
        </w:rPr>
        <w:t>3</w:t>
      </w:r>
      <w:r w:rsidR="000078F0" w:rsidRPr="009F3853">
        <w:rPr>
          <w:sz w:val="22"/>
          <w:szCs w:val="22"/>
        </w:rPr>
        <w:fldChar w:fldCharType="end"/>
      </w:r>
      <w:r w:rsidRPr="009F3853">
        <w:rPr>
          <w:sz w:val="22"/>
          <w:szCs w:val="22"/>
        </w:rPr>
        <w:t xml:space="preserve"> </w:t>
      </w:r>
    </w:p>
    <w:p w14:paraId="7A86302A" w14:textId="42C02185" w:rsidR="00BF7FC3" w:rsidRPr="009F3853" w:rsidRDefault="00BF7FC3" w:rsidP="00CC51DA">
      <w:pPr>
        <w:pStyle w:val="Default"/>
        <w:numPr>
          <w:ilvl w:val="0"/>
          <w:numId w:val="6"/>
        </w:numPr>
        <w:rPr>
          <w:sz w:val="22"/>
          <w:szCs w:val="22"/>
        </w:rPr>
      </w:pPr>
      <w:r w:rsidRPr="009F3853">
        <w:rPr>
          <w:sz w:val="22"/>
          <w:szCs w:val="22"/>
        </w:rPr>
        <w:t>The 2018 data on sickness absence in the UK shows that after musculoskeletal problems, mental health conditions were the next largest cause of lost working days, with over 17.5 million days lost to mental ill health.</w:t>
      </w:r>
      <w:r w:rsidR="00781874" w:rsidRPr="009F3853">
        <w:rPr>
          <w:sz w:val="22"/>
          <w:szCs w:val="22"/>
        </w:rPr>
        <w:fldChar w:fldCharType="begin"/>
      </w:r>
      <w:r w:rsidR="00781874" w:rsidRPr="009F3853">
        <w:rPr>
          <w:sz w:val="22"/>
          <w:szCs w:val="22"/>
        </w:rPr>
        <w:instrText xml:space="preserve"> NOTEREF _Ref80109583 \f \h </w:instrText>
      </w:r>
      <w:r w:rsidR="009F3853" w:rsidRPr="009F3853">
        <w:rPr>
          <w:sz w:val="22"/>
          <w:szCs w:val="22"/>
        </w:rPr>
        <w:instrText xml:space="preserve"> \* MERGEFORMAT </w:instrText>
      </w:r>
      <w:r w:rsidR="00781874" w:rsidRPr="009F3853">
        <w:rPr>
          <w:sz w:val="22"/>
          <w:szCs w:val="22"/>
        </w:rPr>
      </w:r>
      <w:r w:rsidR="00781874" w:rsidRPr="009F3853">
        <w:rPr>
          <w:sz w:val="22"/>
          <w:szCs w:val="22"/>
        </w:rPr>
        <w:fldChar w:fldCharType="separate"/>
      </w:r>
      <w:r w:rsidR="0026190E" w:rsidRPr="0026190E">
        <w:rPr>
          <w:rStyle w:val="EndnoteReference"/>
          <w:sz w:val="22"/>
          <w:szCs w:val="22"/>
        </w:rPr>
        <w:t>4</w:t>
      </w:r>
      <w:r w:rsidR="00781874" w:rsidRPr="009F3853">
        <w:rPr>
          <w:sz w:val="22"/>
          <w:szCs w:val="22"/>
        </w:rPr>
        <w:fldChar w:fldCharType="end"/>
      </w:r>
      <w:r w:rsidRPr="009F3853">
        <w:rPr>
          <w:sz w:val="22"/>
          <w:szCs w:val="22"/>
        </w:rPr>
        <w:t xml:space="preserve">   </w:t>
      </w:r>
    </w:p>
    <w:p w14:paraId="08F2A942" w14:textId="0651BED2" w:rsidR="00BF7FC3" w:rsidRPr="009F3853" w:rsidRDefault="00BF7FC3" w:rsidP="00CC51DA">
      <w:pPr>
        <w:pStyle w:val="Default"/>
        <w:numPr>
          <w:ilvl w:val="0"/>
          <w:numId w:val="6"/>
        </w:numPr>
        <w:rPr>
          <w:sz w:val="22"/>
          <w:szCs w:val="22"/>
        </w:rPr>
      </w:pPr>
      <w:r w:rsidRPr="009F3853">
        <w:rPr>
          <w:sz w:val="22"/>
          <w:szCs w:val="22"/>
        </w:rPr>
        <w:t xml:space="preserve">However, current guidance for employers on supporting health and wellbeing in the workplace is largely siloed based on condition, and doesn’t acknowledge the ways that mental and physical health interact and influence each other. This makes it more </w:t>
      </w:r>
      <w:r w:rsidR="00415B59" w:rsidRPr="009F3853">
        <w:rPr>
          <w:sz w:val="22"/>
          <w:szCs w:val="22"/>
        </w:rPr>
        <w:t xml:space="preserve">challenging for employers to properly address the needs of their employees. </w:t>
      </w:r>
    </w:p>
    <w:p w14:paraId="09122B53" w14:textId="26C430C6" w:rsidR="00851919" w:rsidRPr="009F3853" w:rsidRDefault="00851919" w:rsidP="00CC51DA">
      <w:pPr>
        <w:pStyle w:val="Default"/>
        <w:numPr>
          <w:ilvl w:val="0"/>
          <w:numId w:val="6"/>
        </w:numPr>
        <w:rPr>
          <w:sz w:val="22"/>
          <w:szCs w:val="22"/>
        </w:rPr>
      </w:pPr>
      <w:r w:rsidRPr="009F3853">
        <w:rPr>
          <w:sz w:val="22"/>
          <w:szCs w:val="22"/>
        </w:rPr>
        <w:t xml:space="preserve">Specific advice and information on the interdependency of mental and physical wellbeing should be developed to better equip employers in this regard.  </w:t>
      </w:r>
    </w:p>
    <w:p w14:paraId="266696F0" w14:textId="58DF0231" w:rsidR="005D3AB6" w:rsidRPr="009F3853" w:rsidRDefault="001305A5" w:rsidP="00CC51DA">
      <w:pPr>
        <w:pStyle w:val="Default"/>
        <w:numPr>
          <w:ilvl w:val="0"/>
          <w:numId w:val="6"/>
        </w:numPr>
        <w:rPr>
          <w:sz w:val="22"/>
          <w:szCs w:val="22"/>
        </w:rPr>
      </w:pPr>
      <w:r w:rsidRPr="009F3853">
        <w:rPr>
          <w:sz w:val="22"/>
          <w:szCs w:val="22"/>
        </w:rPr>
        <w:t xml:space="preserve">Our survey Back Pain Britain was conducted between 25 August – 1 September 2020, among 1,040 UK workers who worked from home over </w:t>
      </w:r>
      <w:r w:rsidR="00FA3B6E" w:rsidRPr="009F3853">
        <w:rPr>
          <w:sz w:val="22"/>
          <w:szCs w:val="22"/>
        </w:rPr>
        <w:t xml:space="preserve">the </w:t>
      </w:r>
      <w:r w:rsidRPr="009F3853">
        <w:rPr>
          <w:sz w:val="22"/>
          <w:szCs w:val="22"/>
        </w:rPr>
        <w:t>lockdown</w:t>
      </w:r>
      <w:r w:rsidR="00CE27DA" w:rsidRPr="009F3853">
        <w:rPr>
          <w:sz w:val="22"/>
          <w:szCs w:val="22"/>
        </w:rPr>
        <w:t xml:space="preserve"> during the C</w:t>
      </w:r>
      <w:r w:rsidR="003A2018" w:rsidRPr="009F3853">
        <w:rPr>
          <w:sz w:val="22"/>
          <w:szCs w:val="22"/>
        </w:rPr>
        <w:t>OVID</w:t>
      </w:r>
      <w:r w:rsidR="00CE27DA" w:rsidRPr="009F3853">
        <w:rPr>
          <w:sz w:val="22"/>
          <w:szCs w:val="22"/>
        </w:rPr>
        <w:t>-19 pandemic</w:t>
      </w:r>
      <w:r w:rsidRPr="009F3853">
        <w:rPr>
          <w:sz w:val="22"/>
          <w:szCs w:val="22"/>
        </w:rPr>
        <w:t>. 81% of desk workers</w:t>
      </w:r>
      <w:r w:rsidR="005D3AB6" w:rsidRPr="009F3853">
        <w:rPr>
          <w:sz w:val="22"/>
          <w:szCs w:val="22"/>
        </w:rPr>
        <w:t xml:space="preserve"> </w:t>
      </w:r>
      <w:r w:rsidRPr="009F3853">
        <w:rPr>
          <w:sz w:val="22"/>
          <w:szCs w:val="22"/>
        </w:rPr>
        <w:t>who switched to home working had developed musculoskeletal pain, and 23% reported that pain affected them either often or all the time.</w:t>
      </w:r>
      <w:r w:rsidR="00805885" w:rsidRPr="009F3853">
        <w:rPr>
          <w:rStyle w:val="EndnoteReference"/>
          <w:sz w:val="22"/>
          <w:szCs w:val="22"/>
        </w:rPr>
        <w:endnoteReference w:id="10"/>
      </w:r>
    </w:p>
    <w:p w14:paraId="0A1447D6" w14:textId="714AFAC7" w:rsidR="005D3AB6" w:rsidRPr="009F3853" w:rsidRDefault="001305A5" w:rsidP="00CC51DA">
      <w:pPr>
        <w:pStyle w:val="Default"/>
        <w:numPr>
          <w:ilvl w:val="0"/>
          <w:numId w:val="6"/>
        </w:numPr>
        <w:rPr>
          <w:sz w:val="22"/>
          <w:szCs w:val="22"/>
        </w:rPr>
      </w:pPr>
      <w:r w:rsidRPr="009F3853">
        <w:rPr>
          <w:sz w:val="22"/>
          <w:szCs w:val="22"/>
        </w:rPr>
        <w:t xml:space="preserve">These findings also align with </w:t>
      </w:r>
      <w:r w:rsidR="00EA547E" w:rsidRPr="009F3853">
        <w:rPr>
          <w:sz w:val="22"/>
          <w:szCs w:val="22"/>
        </w:rPr>
        <w:t>an</w:t>
      </w:r>
      <w:r w:rsidRPr="009F3853">
        <w:rPr>
          <w:sz w:val="22"/>
          <w:szCs w:val="22"/>
        </w:rPr>
        <w:t xml:space="preserve"> impact assessment carried out by the Scientific Advisory Group for Emergencies, which estimate</w:t>
      </w:r>
      <w:r w:rsidR="00EA547E" w:rsidRPr="009F3853">
        <w:rPr>
          <w:sz w:val="22"/>
          <w:szCs w:val="22"/>
        </w:rPr>
        <w:t>d</w:t>
      </w:r>
      <w:r w:rsidRPr="009F3853">
        <w:rPr>
          <w:sz w:val="22"/>
          <w:szCs w:val="22"/>
        </w:rPr>
        <w:t xml:space="preserve"> that the burden of musculoskeletal conditions is likely to increase in response to COVID-19, principally due to the guidance</w:t>
      </w:r>
      <w:r w:rsidR="0012267D" w:rsidRPr="009F3853">
        <w:rPr>
          <w:sz w:val="22"/>
          <w:szCs w:val="22"/>
        </w:rPr>
        <w:t xml:space="preserve"> for employees</w:t>
      </w:r>
      <w:r w:rsidRPr="009F3853">
        <w:rPr>
          <w:sz w:val="22"/>
          <w:szCs w:val="22"/>
        </w:rPr>
        <w:t xml:space="preserve"> to work from home</w:t>
      </w:r>
      <w:r w:rsidR="003A2018" w:rsidRPr="009F3853">
        <w:rPr>
          <w:sz w:val="22"/>
          <w:szCs w:val="22"/>
        </w:rPr>
        <w:t>,</w:t>
      </w:r>
      <w:r w:rsidRPr="009F3853">
        <w:rPr>
          <w:sz w:val="22"/>
          <w:szCs w:val="22"/>
        </w:rPr>
        <w:t xml:space="preserve"> often without suitable ergonomic office equipment</w:t>
      </w:r>
      <w:r w:rsidR="005D3AB6" w:rsidRPr="009F3853">
        <w:rPr>
          <w:sz w:val="22"/>
          <w:szCs w:val="22"/>
        </w:rPr>
        <w:t>.</w:t>
      </w:r>
      <w:r w:rsidR="00EA547E" w:rsidRPr="009F3853">
        <w:rPr>
          <w:rStyle w:val="EndnoteReference"/>
          <w:sz w:val="22"/>
          <w:szCs w:val="22"/>
        </w:rPr>
        <w:endnoteReference w:id="11"/>
      </w:r>
    </w:p>
    <w:p w14:paraId="65D3F6F7" w14:textId="275A3F0D" w:rsidR="005D3AB6" w:rsidRPr="009F3853" w:rsidRDefault="008169FE" w:rsidP="00CC51DA">
      <w:pPr>
        <w:pStyle w:val="Default"/>
        <w:numPr>
          <w:ilvl w:val="0"/>
          <w:numId w:val="6"/>
        </w:numPr>
        <w:rPr>
          <w:sz w:val="22"/>
          <w:szCs w:val="22"/>
        </w:rPr>
      </w:pPr>
      <w:r w:rsidRPr="009F3853">
        <w:rPr>
          <w:sz w:val="22"/>
          <w:szCs w:val="22"/>
        </w:rPr>
        <w:t>It is t</w:t>
      </w:r>
      <w:r w:rsidR="005D3AB6" w:rsidRPr="009F3853">
        <w:rPr>
          <w:sz w:val="22"/>
          <w:szCs w:val="22"/>
        </w:rPr>
        <w:t>herefore</w:t>
      </w:r>
      <w:r w:rsidRPr="009F3853">
        <w:rPr>
          <w:sz w:val="22"/>
          <w:szCs w:val="22"/>
        </w:rPr>
        <w:t xml:space="preserve"> </w:t>
      </w:r>
      <w:r w:rsidR="00E972B9" w:rsidRPr="009F3853">
        <w:rPr>
          <w:sz w:val="22"/>
          <w:szCs w:val="22"/>
        </w:rPr>
        <w:t>important</w:t>
      </w:r>
      <w:r w:rsidRPr="009F3853">
        <w:rPr>
          <w:sz w:val="22"/>
          <w:szCs w:val="22"/>
        </w:rPr>
        <w:t xml:space="preserve"> that</w:t>
      </w:r>
      <w:r w:rsidR="00E972B9" w:rsidRPr="009F3853">
        <w:rPr>
          <w:sz w:val="22"/>
          <w:szCs w:val="22"/>
        </w:rPr>
        <w:t xml:space="preserve"> all employment</w:t>
      </w:r>
      <w:r w:rsidRPr="009F3853">
        <w:rPr>
          <w:sz w:val="22"/>
          <w:szCs w:val="22"/>
        </w:rPr>
        <w:t xml:space="preserve"> </w:t>
      </w:r>
      <w:r w:rsidR="00780B2E" w:rsidRPr="009F3853">
        <w:rPr>
          <w:sz w:val="22"/>
          <w:szCs w:val="22"/>
        </w:rPr>
        <w:t>information and advice acknowledge</w:t>
      </w:r>
      <w:r w:rsidR="00E972B9" w:rsidRPr="009F3853">
        <w:rPr>
          <w:sz w:val="22"/>
          <w:szCs w:val="22"/>
        </w:rPr>
        <w:t>s</w:t>
      </w:r>
      <w:r w:rsidR="00780B2E" w:rsidRPr="009F3853">
        <w:rPr>
          <w:sz w:val="22"/>
          <w:szCs w:val="22"/>
        </w:rPr>
        <w:t xml:space="preserve"> the increase in home working, set</w:t>
      </w:r>
      <w:r w:rsidR="00E972B9" w:rsidRPr="009F3853">
        <w:rPr>
          <w:sz w:val="22"/>
          <w:szCs w:val="22"/>
        </w:rPr>
        <w:t>s</w:t>
      </w:r>
      <w:r w:rsidR="00780B2E" w:rsidRPr="009F3853">
        <w:rPr>
          <w:sz w:val="22"/>
          <w:szCs w:val="22"/>
        </w:rPr>
        <w:t xml:space="preserve"> out employers</w:t>
      </w:r>
      <w:r w:rsidR="004C0B25" w:rsidRPr="009F3853">
        <w:rPr>
          <w:sz w:val="22"/>
          <w:szCs w:val="22"/>
        </w:rPr>
        <w:t>’</w:t>
      </w:r>
      <w:r w:rsidR="00780B2E" w:rsidRPr="009F3853">
        <w:rPr>
          <w:sz w:val="22"/>
          <w:szCs w:val="22"/>
        </w:rPr>
        <w:t xml:space="preserve"> </w:t>
      </w:r>
      <w:r w:rsidR="00F67B30" w:rsidRPr="009F3853">
        <w:rPr>
          <w:sz w:val="22"/>
          <w:szCs w:val="22"/>
        </w:rPr>
        <w:t xml:space="preserve">legal </w:t>
      </w:r>
      <w:r w:rsidR="00780B2E" w:rsidRPr="009F3853">
        <w:rPr>
          <w:sz w:val="22"/>
          <w:szCs w:val="22"/>
        </w:rPr>
        <w:t>obligations</w:t>
      </w:r>
      <w:r w:rsidR="004C0B25" w:rsidRPr="009F3853">
        <w:rPr>
          <w:sz w:val="22"/>
          <w:szCs w:val="22"/>
        </w:rPr>
        <w:t xml:space="preserve"> to </w:t>
      </w:r>
      <w:r w:rsidR="006171E8" w:rsidRPr="009F3853">
        <w:rPr>
          <w:sz w:val="22"/>
          <w:szCs w:val="22"/>
        </w:rPr>
        <w:t xml:space="preserve">their remote </w:t>
      </w:r>
      <w:r w:rsidR="004C0B25" w:rsidRPr="009F3853">
        <w:rPr>
          <w:sz w:val="22"/>
          <w:szCs w:val="22"/>
        </w:rPr>
        <w:t>working employees</w:t>
      </w:r>
      <w:r w:rsidR="001F6009" w:rsidRPr="009F3853">
        <w:rPr>
          <w:sz w:val="22"/>
          <w:szCs w:val="22"/>
        </w:rPr>
        <w:t xml:space="preserve"> in areas </w:t>
      </w:r>
      <w:r w:rsidR="00513826" w:rsidRPr="009F3853">
        <w:rPr>
          <w:sz w:val="22"/>
          <w:szCs w:val="22"/>
        </w:rPr>
        <w:t xml:space="preserve">like </w:t>
      </w:r>
      <w:r w:rsidR="00AE4B19" w:rsidRPr="009F3853">
        <w:rPr>
          <w:sz w:val="22"/>
          <w:szCs w:val="22"/>
        </w:rPr>
        <w:t>equipment</w:t>
      </w:r>
      <w:r w:rsidR="00110B23" w:rsidRPr="009F3853">
        <w:rPr>
          <w:sz w:val="22"/>
          <w:szCs w:val="22"/>
        </w:rPr>
        <w:t xml:space="preserve"> provision</w:t>
      </w:r>
      <w:r w:rsidR="00AE4B19" w:rsidRPr="009F3853">
        <w:rPr>
          <w:sz w:val="22"/>
          <w:szCs w:val="22"/>
        </w:rPr>
        <w:t xml:space="preserve">, </w:t>
      </w:r>
      <w:r w:rsidR="00E972B9" w:rsidRPr="009F3853">
        <w:rPr>
          <w:sz w:val="22"/>
          <w:szCs w:val="22"/>
        </w:rPr>
        <w:t xml:space="preserve">and </w:t>
      </w:r>
      <w:r w:rsidR="006171E8" w:rsidRPr="009F3853">
        <w:rPr>
          <w:sz w:val="22"/>
          <w:szCs w:val="22"/>
        </w:rPr>
        <w:t xml:space="preserve">signposts to specific resources on </w:t>
      </w:r>
      <w:r w:rsidR="00AD2984" w:rsidRPr="009F3853">
        <w:rPr>
          <w:sz w:val="22"/>
          <w:szCs w:val="22"/>
        </w:rPr>
        <w:t>ho</w:t>
      </w:r>
      <w:r w:rsidR="004E259C" w:rsidRPr="009F3853">
        <w:rPr>
          <w:sz w:val="22"/>
          <w:szCs w:val="22"/>
        </w:rPr>
        <w:t>w th</w:t>
      </w:r>
      <w:r w:rsidR="00AD2984" w:rsidRPr="009F3853">
        <w:rPr>
          <w:sz w:val="22"/>
          <w:szCs w:val="22"/>
        </w:rPr>
        <w:t xml:space="preserve">ey can </w:t>
      </w:r>
      <w:r w:rsidR="006171E8" w:rsidRPr="009F3853">
        <w:rPr>
          <w:sz w:val="22"/>
          <w:szCs w:val="22"/>
        </w:rPr>
        <w:t>support the</w:t>
      </w:r>
      <w:r w:rsidR="00AD2984" w:rsidRPr="009F3853">
        <w:rPr>
          <w:sz w:val="22"/>
          <w:szCs w:val="22"/>
        </w:rPr>
        <w:t xml:space="preserve"> musculoskeletal</w:t>
      </w:r>
      <w:r w:rsidR="006171E8" w:rsidRPr="009F3853">
        <w:rPr>
          <w:sz w:val="22"/>
          <w:szCs w:val="22"/>
        </w:rPr>
        <w:t xml:space="preserve"> health of </w:t>
      </w:r>
      <w:r w:rsidR="00AD2984" w:rsidRPr="009F3853">
        <w:rPr>
          <w:sz w:val="22"/>
          <w:szCs w:val="22"/>
        </w:rPr>
        <w:t>employees working from hom</w:t>
      </w:r>
      <w:r w:rsidR="004E259C" w:rsidRPr="009F3853">
        <w:rPr>
          <w:sz w:val="22"/>
          <w:szCs w:val="22"/>
        </w:rPr>
        <w:t>e.</w:t>
      </w:r>
    </w:p>
    <w:p w14:paraId="7680CCEE" w14:textId="77777777" w:rsidR="00BF7FC3" w:rsidRPr="009F3853" w:rsidRDefault="00BF7FC3" w:rsidP="00CC51DA">
      <w:pPr>
        <w:pStyle w:val="Default"/>
        <w:rPr>
          <w:b/>
          <w:bCs/>
          <w:sz w:val="22"/>
          <w:szCs w:val="22"/>
        </w:rPr>
      </w:pPr>
    </w:p>
    <w:p w14:paraId="13F2889B" w14:textId="0E50D40E" w:rsidR="00A40367" w:rsidRPr="009F3853" w:rsidRDefault="005B7512" w:rsidP="00CC51DA">
      <w:pPr>
        <w:pStyle w:val="Default"/>
        <w:rPr>
          <w:b/>
          <w:bCs/>
          <w:sz w:val="22"/>
          <w:szCs w:val="22"/>
        </w:rPr>
      </w:pPr>
      <w:r w:rsidRPr="009F3853">
        <w:rPr>
          <w:b/>
          <w:bCs/>
          <w:sz w:val="22"/>
          <w:szCs w:val="22"/>
        </w:rPr>
        <w:t>Recommendation</w:t>
      </w:r>
      <w:r w:rsidR="00944AB7" w:rsidRPr="009F3853">
        <w:rPr>
          <w:b/>
          <w:bCs/>
          <w:sz w:val="22"/>
          <w:szCs w:val="22"/>
        </w:rPr>
        <w:t xml:space="preserve"> </w:t>
      </w:r>
    </w:p>
    <w:p w14:paraId="0490BB94" w14:textId="1942391B" w:rsidR="005B7512" w:rsidRPr="009F3853" w:rsidRDefault="005B7512" w:rsidP="00CC51DA">
      <w:pPr>
        <w:pStyle w:val="Default"/>
        <w:rPr>
          <w:sz w:val="22"/>
          <w:szCs w:val="22"/>
        </w:rPr>
      </w:pPr>
      <w:r w:rsidRPr="009F3853">
        <w:rPr>
          <w:sz w:val="22"/>
          <w:szCs w:val="22"/>
        </w:rPr>
        <w:t>Department for Work and Pensions in partnership with the</w:t>
      </w:r>
      <w:r w:rsidR="00544157" w:rsidRPr="009F3853">
        <w:rPr>
          <w:sz w:val="22"/>
          <w:szCs w:val="22"/>
        </w:rPr>
        <w:t xml:space="preserve"> </w:t>
      </w:r>
      <w:r w:rsidRPr="009F3853">
        <w:rPr>
          <w:sz w:val="22"/>
          <w:szCs w:val="22"/>
        </w:rPr>
        <w:t>Government</w:t>
      </w:r>
      <w:r w:rsidR="00544157" w:rsidRPr="009F3853">
        <w:rPr>
          <w:sz w:val="22"/>
          <w:szCs w:val="22"/>
        </w:rPr>
        <w:t>’s</w:t>
      </w:r>
      <w:r w:rsidRPr="009F3853">
        <w:rPr>
          <w:sz w:val="22"/>
          <w:szCs w:val="22"/>
        </w:rPr>
        <w:t xml:space="preserve"> Equalities Office and the Disability Unit should work to clarify the meaning</w:t>
      </w:r>
      <w:r w:rsidR="008055A3" w:rsidRPr="009F3853">
        <w:rPr>
          <w:sz w:val="22"/>
          <w:szCs w:val="22"/>
        </w:rPr>
        <w:t xml:space="preserve"> and scope</w:t>
      </w:r>
      <w:r w:rsidRPr="009F3853">
        <w:rPr>
          <w:sz w:val="22"/>
          <w:szCs w:val="22"/>
        </w:rPr>
        <w:t xml:space="preserve"> of reasonable adjustments</w:t>
      </w:r>
      <w:r w:rsidR="00EB3AEA" w:rsidRPr="009F3853">
        <w:rPr>
          <w:sz w:val="22"/>
          <w:szCs w:val="22"/>
        </w:rPr>
        <w:t>,</w:t>
      </w:r>
      <w:r w:rsidR="00102AC2" w:rsidRPr="009F3853">
        <w:rPr>
          <w:sz w:val="22"/>
          <w:szCs w:val="22"/>
        </w:rPr>
        <w:t xml:space="preserve"> as set out in the Equality Act 2010</w:t>
      </w:r>
      <w:r w:rsidRPr="009F3853">
        <w:rPr>
          <w:sz w:val="22"/>
          <w:szCs w:val="22"/>
        </w:rPr>
        <w:t>,</w:t>
      </w:r>
      <w:r w:rsidR="002D673C" w:rsidRPr="009F3853">
        <w:rPr>
          <w:rStyle w:val="EndnoteReference"/>
          <w:sz w:val="22"/>
          <w:szCs w:val="22"/>
        </w:rPr>
        <w:endnoteReference w:id="12"/>
      </w:r>
      <w:r w:rsidRPr="009F3853">
        <w:rPr>
          <w:sz w:val="22"/>
          <w:szCs w:val="22"/>
        </w:rPr>
        <w:t xml:space="preserve"> ensuring that people with musculoskeletal conditions are consulted, so that both employees and employers have a stronger understanding of what support </w:t>
      </w:r>
      <w:r w:rsidR="008055A3" w:rsidRPr="009F3853">
        <w:rPr>
          <w:sz w:val="22"/>
          <w:szCs w:val="22"/>
        </w:rPr>
        <w:t>employers</w:t>
      </w:r>
      <w:r w:rsidRPr="009F3853">
        <w:rPr>
          <w:sz w:val="22"/>
          <w:szCs w:val="22"/>
        </w:rPr>
        <w:t xml:space="preserve"> are responsibl</w:t>
      </w:r>
      <w:r w:rsidR="008055A3" w:rsidRPr="009F3853">
        <w:rPr>
          <w:sz w:val="22"/>
          <w:szCs w:val="22"/>
        </w:rPr>
        <w:t>e</w:t>
      </w:r>
      <w:r w:rsidRPr="009F3853">
        <w:rPr>
          <w:sz w:val="22"/>
          <w:szCs w:val="22"/>
        </w:rPr>
        <w:t xml:space="preserve"> for providing.</w:t>
      </w:r>
      <w:r w:rsidR="003F31D9" w:rsidRPr="009F3853">
        <w:rPr>
          <w:sz w:val="22"/>
          <w:szCs w:val="22"/>
        </w:rPr>
        <w:t xml:space="preserve"> </w:t>
      </w:r>
    </w:p>
    <w:p w14:paraId="5E421A2C" w14:textId="77777777" w:rsidR="008055A3" w:rsidRPr="009F3853" w:rsidRDefault="008055A3" w:rsidP="00CC51DA">
      <w:pPr>
        <w:pStyle w:val="Default"/>
        <w:rPr>
          <w:b/>
          <w:bCs/>
          <w:sz w:val="22"/>
          <w:szCs w:val="22"/>
        </w:rPr>
      </w:pPr>
    </w:p>
    <w:p w14:paraId="36B3A6EF" w14:textId="575E7883" w:rsidR="00944AB7" w:rsidRPr="009F3853" w:rsidRDefault="00944AB7" w:rsidP="00CC51DA">
      <w:pPr>
        <w:pStyle w:val="Default"/>
        <w:rPr>
          <w:b/>
          <w:bCs/>
          <w:sz w:val="22"/>
          <w:szCs w:val="22"/>
        </w:rPr>
      </w:pPr>
      <w:r w:rsidRPr="009F3853">
        <w:rPr>
          <w:b/>
          <w:bCs/>
          <w:sz w:val="22"/>
          <w:szCs w:val="22"/>
        </w:rPr>
        <w:t xml:space="preserve">Context </w:t>
      </w:r>
    </w:p>
    <w:p w14:paraId="6B930CA6" w14:textId="60B24081" w:rsidR="00BC0B57" w:rsidRPr="009F3853" w:rsidRDefault="00944AB7" w:rsidP="00CC51DA">
      <w:pPr>
        <w:pStyle w:val="Default"/>
        <w:numPr>
          <w:ilvl w:val="0"/>
          <w:numId w:val="1"/>
        </w:numPr>
        <w:rPr>
          <w:sz w:val="22"/>
          <w:szCs w:val="22"/>
        </w:rPr>
      </w:pPr>
      <w:r w:rsidRPr="009F3853">
        <w:rPr>
          <w:sz w:val="22"/>
          <w:szCs w:val="22"/>
        </w:rPr>
        <w:t>In 2018, Versus Arthritis conducted a survey of over 1,500 people with musculoskeletal conditions</w:t>
      </w:r>
      <w:r w:rsidR="008055A3" w:rsidRPr="009F3853">
        <w:rPr>
          <w:sz w:val="22"/>
          <w:szCs w:val="22"/>
        </w:rPr>
        <w:t>,</w:t>
      </w:r>
      <w:r w:rsidRPr="009F3853">
        <w:rPr>
          <w:sz w:val="22"/>
          <w:szCs w:val="22"/>
        </w:rPr>
        <w:t xml:space="preserve"> which focused on the </w:t>
      </w:r>
      <w:r w:rsidRPr="009F3853">
        <w:rPr>
          <w:color w:val="auto"/>
          <w:sz w:val="22"/>
          <w:szCs w:val="22"/>
        </w:rPr>
        <w:t>impact o</w:t>
      </w:r>
      <w:r w:rsidR="1751CFE3" w:rsidRPr="009F3853">
        <w:rPr>
          <w:color w:val="auto"/>
          <w:sz w:val="22"/>
          <w:szCs w:val="22"/>
        </w:rPr>
        <w:t>f</w:t>
      </w:r>
      <w:r w:rsidRPr="009F3853">
        <w:rPr>
          <w:color w:val="auto"/>
          <w:sz w:val="22"/>
          <w:szCs w:val="22"/>
        </w:rPr>
        <w:t xml:space="preserve"> </w:t>
      </w:r>
      <w:r w:rsidR="0066056E" w:rsidRPr="009F3853">
        <w:rPr>
          <w:color w:val="auto"/>
          <w:sz w:val="22"/>
          <w:szCs w:val="22"/>
        </w:rPr>
        <w:t xml:space="preserve">musculoskeletal conditions on </w:t>
      </w:r>
      <w:r w:rsidRPr="009F3853">
        <w:rPr>
          <w:color w:val="auto"/>
          <w:sz w:val="22"/>
          <w:szCs w:val="22"/>
        </w:rPr>
        <w:t xml:space="preserve">people’s </w:t>
      </w:r>
      <w:r w:rsidRPr="009F3853">
        <w:rPr>
          <w:sz w:val="22"/>
          <w:szCs w:val="22"/>
        </w:rPr>
        <w:t>ability to work. Th</w:t>
      </w:r>
      <w:r w:rsidR="00BC0B57" w:rsidRPr="009F3853">
        <w:rPr>
          <w:sz w:val="22"/>
          <w:szCs w:val="22"/>
        </w:rPr>
        <w:t>is</w:t>
      </w:r>
      <w:r w:rsidRPr="009F3853">
        <w:rPr>
          <w:sz w:val="22"/>
          <w:szCs w:val="22"/>
        </w:rPr>
        <w:t xml:space="preserve"> survey found that only </w:t>
      </w:r>
      <w:r w:rsidR="00023547" w:rsidRPr="009F3853">
        <w:rPr>
          <w:sz w:val="22"/>
          <w:szCs w:val="22"/>
        </w:rPr>
        <w:t>29% of respondents said their employer had made all possible adjustments to support them i</w:t>
      </w:r>
      <w:r w:rsidRPr="009F3853">
        <w:rPr>
          <w:sz w:val="22"/>
          <w:szCs w:val="22"/>
        </w:rPr>
        <w:t>n their role</w:t>
      </w:r>
      <w:r w:rsidR="00F162FF" w:rsidRPr="009F3853">
        <w:rPr>
          <w:sz w:val="22"/>
          <w:szCs w:val="22"/>
        </w:rPr>
        <w:t>.</w:t>
      </w:r>
      <w:r w:rsidRPr="009F3853">
        <w:rPr>
          <w:sz w:val="22"/>
          <w:szCs w:val="22"/>
        </w:rPr>
        <w:t xml:space="preserve"> 25% s</w:t>
      </w:r>
      <w:r w:rsidR="00023547" w:rsidRPr="009F3853">
        <w:rPr>
          <w:sz w:val="22"/>
          <w:szCs w:val="22"/>
        </w:rPr>
        <w:t xml:space="preserve">aid </w:t>
      </w:r>
      <w:r w:rsidRPr="009F3853">
        <w:rPr>
          <w:sz w:val="22"/>
          <w:szCs w:val="22"/>
        </w:rPr>
        <w:t xml:space="preserve">their </w:t>
      </w:r>
      <w:r w:rsidR="00023547" w:rsidRPr="009F3853">
        <w:rPr>
          <w:sz w:val="22"/>
          <w:szCs w:val="22"/>
        </w:rPr>
        <w:t xml:space="preserve">employer had made </w:t>
      </w:r>
      <w:r w:rsidR="00023547" w:rsidRPr="009F3853">
        <w:rPr>
          <w:sz w:val="22"/>
          <w:szCs w:val="22"/>
        </w:rPr>
        <w:lastRenderedPageBreak/>
        <w:t xml:space="preserve">some adjustments but that there were additional things they would </w:t>
      </w:r>
      <w:r w:rsidRPr="009F3853">
        <w:rPr>
          <w:sz w:val="22"/>
          <w:szCs w:val="22"/>
        </w:rPr>
        <w:t>benefit from</w:t>
      </w:r>
      <w:r w:rsidR="00023547" w:rsidRPr="009F3853">
        <w:rPr>
          <w:sz w:val="22"/>
          <w:szCs w:val="22"/>
        </w:rPr>
        <w:t xml:space="preserve"> and 25% said their employer had not made </w:t>
      </w:r>
      <w:r w:rsidRPr="009F3853">
        <w:rPr>
          <w:sz w:val="22"/>
          <w:szCs w:val="22"/>
        </w:rPr>
        <w:t xml:space="preserve">any of the </w:t>
      </w:r>
      <w:r w:rsidR="00023547" w:rsidRPr="009F3853">
        <w:rPr>
          <w:sz w:val="22"/>
          <w:szCs w:val="22"/>
        </w:rPr>
        <w:t xml:space="preserve">reasonable adjustments they </w:t>
      </w:r>
      <w:r w:rsidR="00C036D7" w:rsidRPr="009F3853">
        <w:rPr>
          <w:sz w:val="22"/>
          <w:szCs w:val="22"/>
        </w:rPr>
        <w:t>needed</w:t>
      </w:r>
      <w:r w:rsidR="00023547" w:rsidRPr="009F3853">
        <w:rPr>
          <w:sz w:val="22"/>
          <w:szCs w:val="22"/>
        </w:rPr>
        <w:t>.</w:t>
      </w:r>
      <w:r w:rsidR="00666D67" w:rsidRPr="009F3853">
        <w:rPr>
          <w:rStyle w:val="EndnoteReference"/>
          <w:sz w:val="22"/>
          <w:szCs w:val="22"/>
        </w:rPr>
        <w:endnoteReference w:id="13"/>
      </w:r>
    </w:p>
    <w:p w14:paraId="052CBAE7" w14:textId="5B0CAF5A" w:rsidR="00B44CDC" w:rsidRPr="009F3853" w:rsidRDefault="00BC0B57" w:rsidP="00CC51DA">
      <w:pPr>
        <w:pStyle w:val="Default"/>
        <w:numPr>
          <w:ilvl w:val="0"/>
          <w:numId w:val="1"/>
        </w:numPr>
        <w:rPr>
          <w:sz w:val="22"/>
          <w:szCs w:val="22"/>
        </w:rPr>
      </w:pPr>
      <w:r w:rsidRPr="009F3853">
        <w:rPr>
          <w:sz w:val="22"/>
          <w:szCs w:val="22"/>
        </w:rPr>
        <w:t>Q</w:t>
      </w:r>
      <w:r w:rsidR="00944AB7" w:rsidRPr="009F3853">
        <w:rPr>
          <w:sz w:val="22"/>
          <w:szCs w:val="22"/>
        </w:rPr>
        <w:t>ualitative research</w:t>
      </w:r>
      <w:r w:rsidRPr="009F3853">
        <w:rPr>
          <w:sz w:val="22"/>
          <w:szCs w:val="22"/>
        </w:rPr>
        <w:t xml:space="preserve"> conducted by Versus Arthritis in 2017</w:t>
      </w:r>
      <w:r w:rsidR="008055A3" w:rsidRPr="009F3853">
        <w:rPr>
          <w:sz w:val="22"/>
          <w:szCs w:val="22"/>
        </w:rPr>
        <w:t>,</w:t>
      </w:r>
      <w:r w:rsidRPr="009F3853">
        <w:rPr>
          <w:sz w:val="22"/>
          <w:szCs w:val="22"/>
        </w:rPr>
        <w:t xml:space="preserve"> which collected</w:t>
      </w:r>
      <w:r w:rsidR="00B44CDC" w:rsidRPr="009F3853">
        <w:rPr>
          <w:sz w:val="22"/>
          <w:szCs w:val="22"/>
        </w:rPr>
        <w:t xml:space="preserve"> the experiences of over </w:t>
      </w:r>
      <w:r w:rsidRPr="009F3853">
        <w:rPr>
          <w:sz w:val="22"/>
          <w:szCs w:val="22"/>
        </w:rPr>
        <w:t xml:space="preserve">260 </w:t>
      </w:r>
      <w:r w:rsidR="00B44CDC" w:rsidRPr="009F3853">
        <w:rPr>
          <w:sz w:val="22"/>
          <w:szCs w:val="22"/>
        </w:rPr>
        <w:t>people</w:t>
      </w:r>
      <w:r w:rsidR="008055A3" w:rsidRPr="009F3853">
        <w:rPr>
          <w:sz w:val="22"/>
          <w:szCs w:val="22"/>
        </w:rPr>
        <w:t>,</w:t>
      </w:r>
      <w:r w:rsidRPr="009F3853">
        <w:rPr>
          <w:sz w:val="22"/>
          <w:szCs w:val="22"/>
        </w:rPr>
        <w:t xml:space="preserve"> </w:t>
      </w:r>
      <w:r w:rsidR="00ED2D8F" w:rsidRPr="009F3853">
        <w:rPr>
          <w:sz w:val="22"/>
          <w:szCs w:val="22"/>
        </w:rPr>
        <w:t xml:space="preserve">consistently showed </w:t>
      </w:r>
      <w:r w:rsidRPr="009F3853">
        <w:rPr>
          <w:sz w:val="22"/>
          <w:szCs w:val="22"/>
        </w:rPr>
        <w:t xml:space="preserve">that employees are often unclear of their rights </w:t>
      </w:r>
      <w:r w:rsidR="00A26CC8" w:rsidRPr="009F3853">
        <w:rPr>
          <w:sz w:val="22"/>
          <w:szCs w:val="22"/>
        </w:rPr>
        <w:t>at</w:t>
      </w:r>
      <w:r w:rsidRPr="009F3853">
        <w:rPr>
          <w:sz w:val="22"/>
          <w:szCs w:val="22"/>
        </w:rPr>
        <w:t xml:space="preserve"> work, and of the types of adjustments that might </w:t>
      </w:r>
      <w:r w:rsidR="00B44CDC" w:rsidRPr="009F3853">
        <w:rPr>
          <w:sz w:val="22"/>
          <w:szCs w:val="22"/>
        </w:rPr>
        <w:t xml:space="preserve">best </w:t>
      </w:r>
      <w:r w:rsidRPr="009F3853">
        <w:rPr>
          <w:sz w:val="22"/>
          <w:szCs w:val="22"/>
        </w:rPr>
        <w:t>help</w:t>
      </w:r>
      <w:r w:rsidR="00B44CDC" w:rsidRPr="009F3853">
        <w:rPr>
          <w:sz w:val="22"/>
          <w:szCs w:val="22"/>
        </w:rPr>
        <w:t xml:space="preserve"> them stay in their role and work safely</w:t>
      </w:r>
      <w:r w:rsidRPr="009F3853">
        <w:rPr>
          <w:sz w:val="22"/>
          <w:szCs w:val="22"/>
        </w:rPr>
        <w:t>.</w:t>
      </w:r>
      <w:r w:rsidR="006964AC" w:rsidRPr="009F3853">
        <w:rPr>
          <w:rStyle w:val="EndnoteReference"/>
          <w:sz w:val="22"/>
          <w:szCs w:val="22"/>
        </w:rPr>
        <w:endnoteReference w:id="14"/>
      </w:r>
      <w:r w:rsidRPr="009F3853">
        <w:rPr>
          <w:sz w:val="22"/>
          <w:szCs w:val="22"/>
        </w:rPr>
        <w:t xml:space="preserve"> </w:t>
      </w:r>
    </w:p>
    <w:p w14:paraId="4419B122" w14:textId="32F0EC11" w:rsidR="004908EB" w:rsidRPr="009F3853" w:rsidRDefault="00BC0B57" w:rsidP="00CC51DA">
      <w:pPr>
        <w:pStyle w:val="Default"/>
        <w:numPr>
          <w:ilvl w:val="0"/>
          <w:numId w:val="1"/>
        </w:numPr>
        <w:rPr>
          <w:sz w:val="22"/>
          <w:szCs w:val="22"/>
        </w:rPr>
      </w:pPr>
      <w:r w:rsidRPr="009F3853">
        <w:rPr>
          <w:sz w:val="22"/>
          <w:szCs w:val="22"/>
        </w:rPr>
        <w:t>Equally,</w:t>
      </w:r>
      <w:r w:rsidR="00481315" w:rsidRPr="009F3853">
        <w:rPr>
          <w:sz w:val="22"/>
          <w:szCs w:val="22"/>
        </w:rPr>
        <w:t xml:space="preserve"> as previously highlighted,</w:t>
      </w:r>
      <w:r w:rsidRPr="009F3853">
        <w:rPr>
          <w:sz w:val="22"/>
          <w:szCs w:val="22"/>
        </w:rPr>
        <w:t xml:space="preserve"> employers can</w:t>
      </w:r>
      <w:r w:rsidR="00481315" w:rsidRPr="009F3853">
        <w:rPr>
          <w:sz w:val="22"/>
          <w:szCs w:val="22"/>
        </w:rPr>
        <w:t xml:space="preserve"> also</w:t>
      </w:r>
      <w:r w:rsidRPr="009F3853">
        <w:rPr>
          <w:sz w:val="22"/>
          <w:szCs w:val="22"/>
        </w:rPr>
        <w:t xml:space="preserve"> be unfamiliar with the impact of musculoskeletal conditions on employees’ ability to work, </w:t>
      </w:r>
      <w:r w:rsidR="00E84003" w:rsidRPr="009F3853">
        <w:rPr>
          <w:sz w:val="22"/>
          <w:szCs w:val="22"/>
        </w:rPr>
        <w:t xml:space="preserve">are often </w:t>
      </w:r>
      <w:r w:rsidRPr="009F3853">
        <w:rPr>
          <w:sz w:val="22"/>
          <w:szCs w:val="22"/>
        </w:rPr>
        <w:t>unclear o</w:t>
      </w:r>
      <w:r w:rsidR="00E84003" w:rsidRPr="009F3853">
        <w:rPr>
          <w:sz w:val="22"/>
          <w:szCs w:val="22"/>
        </w:rPr>
        <w:t>n</w:t>
      </w:r>
      <w:r w:rsidRPr="009F3853">
        <w:rPr>
          <w:sz w:val="22"/>
          <w:szCs w:val="22"/>
        </w:rPr>
        <w:t xml:space="preserve"> their legal responsibilities</w:t>
      </w:r>
      <w:r w:rsidR="00E84003" w:rsidRPr="009F3853">
        <w:rPr>
          <w:sz w:val="22"/>
          <w:szCs w:val="22"/>
        </w:rPr>
        <w:t xml:space="preserve"> to provide support</w:t>
      </w:r>
      <w:r w:rsidRPr="009F3853">
        <w:rPr>
          <w:sz w:val="22"/>
          <w:szCs w:val="22"/>
        </w:rPr>
        <w:t>, and</w:t>
      </w:r>
      <w:r w:rsidR="00F60188" w:rsidRPr="009F3853">
        <w:rPr>
          <w:sz w:val="22"/>
          <w:szCs w:val="22"/>
        </w:rPr>
        <w:t xml:space="preserve"> frequently are</w:t>
      </w:r>
      <w:r w:rsidRPr="009F3853">
        <w:rPr>
          <w:sz w:val="22"/>
          <w:szCs w:val="22"/>
        </w:rPr>
        <w:t xml:space="preserve"> </w:t>
      </w:r>
      <w:r w:rsidR="00AB1EC6" w:rsidRPr="009F3853">
        <w:rPr>
          <w:sz w:val="22"/>
          <w:szCs w:val="22"/>
        </w:rPr>
        <w:t xml:space="preserve">not aware of </w:t>
      </w:r>
      <w:r w:rsidRPr="009F3853">
        <w:rPr>
          <w:sz w:val="22"/>
          <w:szCs w:val="22"/>
        </w:rPr>
        <w:t>the types of adjustments that might be beneficial.</w:t>
      </w:r>
      <w:r w:rsidR="006B2808" w:rsidRPr="009F3853">
        <w:rPr>
          <w:sz w:val="22"/>
          <w:szCs w:val="22"/>
        </w:rPr>
        <w:fldChar w:fldCharType="begin"/>
      </w:r>
      <w:r w:rsidR="006B2808" w:rsidRPr="009F3853">
        <w:rPr>
          <w:sz w:val="22"/>
          <w:szCs w:val="22"/>
        </w:rPr>
        <w:instrText xml:space="preserve"> NOTEREF _Ref80110472 \f \h </w:instrText>
      </w:r>
      <w:r w:rsidR="009F3853" w:rsidRPr="009F3853">
        <w:rPr>
          <w:sz w:val="22"/>
          <w:szCs w:val="22"/>
        </w:rPr>
        <w:instrText xml:space="preserve"> \* MERGEFORMAT </w:instrText>
      </w:r>
      <w:r w:rsidR="006B2808" w:rsidRPr="009F3853">
        <w:rPr>
          <w:sz w:val="22"/>
          <w:szCs w:val="22"/>
        </w:rPr>
      </w:r>
      <w:r w:rsidR="006B2808" w:rsidRPr="009F3853">
        <w:rPr>
          <w:sz w:val="22"/>
          <w:szCs w:val="22"/>
        </w:rPr>
        <w:fldChar w:fldCharType="separate"/>
      </w:r>
      <w:r w:rsidR="0026190E" w:rsidRPr="0026190E">
        <w:rPr>
          <w:rStyle w:val="EndnoteReference"/>
          <w:sz w:val="22"/>
          <w:szCs w:val="22"/>
        </w:rPr>
        <w:t>6</w:t>
      </w:r>
      <w:r w:rsidR="006B2808" w:rsidRPr="009F3853">
        <w:rPr>
          <w:sz w:val="22"/>
          <w:szCs w:val="22"/>
        </w:rPr>
        <w:fldChar w:fldCharType="end"/>
      </w:r>
      <w:r w:rsidR="00944AB7" w:rsidRPr="009F3853">
        <w:rPr>
          <w:sz w:val="22"/>
          <w:szCs w:val="22"/>
        </w:rPr>
        <w:t xml:space="preserve"> </w:t>
      </w:r>
    </w:p>
    <w:p w14:paraId="67C7E68C" w14:textId="2A40045A" w:rsidR="005B7512" w:rsidRPr="009F3853" w:rsidRDefault="0084371C" w:rsidP="00CC51DA">
      <w:pPr>
        <w:pStyle w:val="Default"/>
        <w:numPr>
          <w:ilvl w:val="0"/>
          <w:numId w:val="1"/>
        </w:numPr>
        <w:rPr>
          <w:sz w:val="22"/>
          <w:szCs w:val="22"/>
        </w:rPr>
      </w:pPr>
      <w:r w:rsidRPr="009F3853">
        <w:rPr>
          <w:sz w:val="22"/>
          <w:szCs w:val="22"/>
        </w:rPr>
        <w:t xml:space="preserve">Employers should be made aware of available resources </w:t>
      </w:r>
      <w:r w:rsidR="00FE23D4" w:rsidRPr="009F3853">
        <w:rPr>
          <w:sz w:val="22"/>
          <w:szCs w:val="22"/>
        </w:rPr>
        <w:t xml:space="preserve">such as the </w:t>
      </w:r>
      <w:hyperlink r:id="rId12" w:history="1">
        <w:r w:rsidR="00FE23D4" w:rsidRPr="009F3853">
          <w:rPr>
            <w:rStyle w:val="Hyperlink"/>
            <w:sz w:val="22"/>
            <w:szCs w:val="22"/>
          </w:rPr>
          <w:t>Musculoskeletal Toolkit for</w:t>
        </w:r>
        <w:r w:rsidR="00490404" w:rsidRPr="009F3853">
          <w:rPr>
            <w:rStyle w:val="Hyperlink"/>
            <w:sz w:val="22"/>
            <w:szCs w:val="22"/>
          </w:rPr>
          <w:t xml:space="preserve"> </w:t>
        </w:r>
        <w:r w:rsidR="00FE23D4" w:rsidRPr="009F3853">
          <w:rPr>
            <w:rStyle w:val="Hyperlink"/>
            <w:sz w:val="22"/>
            <w:szCs w:val="22"/>
          </w:rPr>
          <w:t>Employers</w:t>
        </w:r>
      </w:hyperlink>
      <w:r w:rsidR="00FE23D4" w:rsidRPr="009F3853">
        <w:rPr>
          <w:sz w:val="22"/>
          <w:szCs w:val="22"/>
        </w:rPr>
        <w:t xml:space="preserve"> </w:t>
      </w:r>
      <w:r w:rsidRPr="009F3853">
        <w:rPr>
          <w:sz w:val="22"/>
          <w:szCs w:val="22"/>
        </w:rPr>
        <w:t xml:space="preserve">and </w:t>
      </w:r>
      <w:r w:rsidR="008213A3" w:rsidRPr="009F3853">
        <w:rPr>
          <w:sz w:val="22"/>
          <w:szCs w:val="22"/>
        </w:rPr>
        <w:t xml:space="preserve">other guidance and </w:t>
      </w:r>
      <w:r w:rsidRPr="009F3853">
        <w:rPr>
          <w:sz w:val="22"/>
          <w:szCs w:val="22"/>
        </w:rPr>
        <w:t>best practice in this area</w:t>
      </w:r>
      <w:r w:rsidR="007C279C" w:rsidRPr="009F3853">
        <w:rPr>
          <w:sz w:val="22"/>
          <w:szCs w:val="22"/>
        </w:rPr>
        <w:t>,</w:t>
      </w:r>
      <w:r w:rsidRPr="009F3853">
        <w:rPr>
          <w:sz w:val="22"/>
          <w:szCs w:val="22"/>
        </w:rPr>
        <w:t xml:space="preserve"> in keeping with their </w:t>
      </w:r>
      <w:r w:rsidR="00FE23D4" w:rsidRPr="009F3853">
        <w:rPr>
          <w:sz w:val="22"/>
          <w:szCs w:val="22"/>
        </w:rPr>
        <w:t>le</w:t>
      </w:r>
      <w:r w:rsidR="00490404" w:rsidRPr="009F3853">
        <w:rPr>
          <w:sz w:val="22"/>
          <w:szCs w:val="22"/>
        </w:rPr>
        <w:t>g</w:t>
      </w:r>
      <w:r w:rsidR="00FE23D4" w:rsidRPr="009F3853">
        <w:rPr>
          <w:sz w:val="22"/>
          <w:szCs w:val="22"/>
        </w:rPr>
        <w:t xml:space="preserve">al </w:t>
      </w:r>
      <w:r w:rsidRPr="009F3853">
        <w:rPr>
          <w:sz w:val="22"/>
          <w:szCs w:val="22"/>
        </w:rPr>
        <w:t>duty to employees.</w:t>
      </w:r>
      <w:r w:rsidR="003419BD" w:rsidRPr="009F3853">
        <w:rPr>
          <w:sz w:val="22"/>
          <w:szCs w:val="22"/>
        </w:rPr>
        <w:fldChar w:fldCharType="begin"/>
      </w:r>
      <w:r w:rsidR="003419BD" w:rsidRPr="009F3853">
        <w:rPr>
          <w:sz w:val="22"/>
          <w:szCs w:val="22"/>
        </w:rPr>
        <w:instrText xml:space="preserve"> NOTEREF _Ref80110524 \f \h </w:instrText>
      </w:r>
      <w:r w:rsidR="009F3853" w:rsidRPr="009F3853">
        <w:rPr>
          <w:sz w:val="22"/>
          <w:szCs w:val="22"/>
        </w:rPr>
        <w:instrText xml:space="preserve"> \* MERGEFORMAT </w:instrText>
      </w:r>
      <w:r w:rsidR="003419BD" w:rsidRPr="009F3853">
        <w:rPr>
          <w:sz w:val="22"/>
          <w:szCs w:val="22"/>
        </w:rPr>
      </w:r>
      <w:r w:rsidR="003419BD" w:rsidRPr="009F3853">
        <w:rPr>
          <w:sz w:val="22"/>
          <w:szCs w:val="22"/>
        </w:rPr>
        <w:fldChar w:fldCharType="separate"/>
      </w:r>
      <w:r w:rsidR="0026190E" w:rsidRPr="0026190E">
        <w:rPr>
          <w:rStyle w:val="EndnoteReference"/>
          <w:sz w:val="22"/>
          <w:szCs w:val="22"/>
        </w:rPr>
        <w:t>5</w:t>
      </w:r>
      <w:r w:rsidR="003419BD" w:rsidRPr="009F3853">
        <w:rPr>
          <w:sz w:val="22"/>
          <w:szCs w:val="22"/>
        </w:rPr>
        <w:fldChar w:fldCharType="end"/>
      </w:r>
      <w:r w:rsidRPr="009F3853">
        <w:rPr>
          <w:sz w:val="22"/>
          <w:szCs w:val="22"/>
        </w:rPr>
        <w:t xml:space="preserve"> </w:t>
      </w:r>
    </w:p>
    <w:p w14:paraId="24E7E1E4" w14:textId="6E0C351C" w:rsidR="008055A3" w:rsidRPr="009F3853" w:rsidRDefault="008055A3" w:rsidP="00CC51DA">
      <w:pPr>
        <w:pStyle w:val="Default"/>
        <w:numPr>
          <w:ilvl w:val="0"/>
          <w:numId w:val="1"/>
        </w:numPr>
        <w:rPr>
          <w:sz w:val="22"/>
          <w:szCs w:val="22"/>
        </w:rPr>
      </w:pPr>
      <w:r w:rsidRPr="009F3853">
        <w:rPr>
          <w:sz w:val="22"/>
          <w:szCs w:val="22"/>
        </w:rPr>
        <w:t xml:space="preserve">These research findings highlight the issues </w:t>
      </w:r>
      <w:r w:rsidR="00AB1EC6" w:rsidRPr="009F3853">
        <w:rPr>
          <w:sz w:val="22"/>
          <w:szCs w:val="22"/>
        </w:rPr>
        <w:t>that</w:t>
      </w:r>
      <w:r w:rsidRPr="009F3853">
        <w:rPr>
          <w:sz w:val="22"/>
          <w:szCs w:val="22"/>
        </w:rPr>
        <w:t xml:space="preserve"> arise as a result of the ambiguity in the current guidance and information provided on reasonable adjustments.</w:t>
      </w:r>
      <w:r w:rsidR="00F60188" w:rsidRPr="009F3853">
        <w:rPr>
          <w:sz w:val="22"/>
          <w:szCs w:val="22"/>
        </w:rPr>
        <w:t xml:space="preserve"> In order to address the problem, </w:t>
      </w:r>
      <w:r w:rsidR="0031249A" w:rsidRPr="009F3853">
        <w:rPr>
          <w:sz w:val="22"/>
          <w:szCs w:val="22"/>
        </w:rPr>
        <w:t xml:space="preserve">the language used in reference to what does and does not qualify as a reasonable adjustment should be made more specific, and </w:t>
      </w:r>
      <w:r w:rsidR="002310F1" w:rsidRPr="009F3853">
        <w:rPr>
          <w:sz w:val="22"/>
          <w:szCs w:val="22"/>
        </w:rPr>
        <w:t xml:space="preserve">be supported by </w:t>
      </w:r>
      <w:r w:rsidR="00606C07" w:rsidRPr="009F3853">
        <w:rPr>
          <w:sz w:val="22"/>
          <w:szCs w:val="22"/>
        </w:rPr>
        <w:t>real world</w:t>
      </w:r>
      <w:r w:rsidR="6859211D" w:rsidRPr="009F3853">
        <w:rPr>
          <w:sz w:val="22"/>
          <w:szCs w:val="22"/>
        </w:rPr>
        <w:t xml:space="preserve"> </w:t>
      </w:r>
      <w:r w:rsidR="002310F1" w:rsidRPr="009F3853">
        <w:rPr>
          <w:sz w:val="22"/>
          <w:szCs w:val="22"/>
        </w:rPr>
        <w:t xml:space="preserve">case studies and </w:t>
      </w:r>
      <w:r w:rsidR="00606C07" w:rsidRPr="009F3853">
        <w:rPr>
          <w:sz w:val="22"/>
          <w:szCs w:val="22"/>
        </w:rPr>
        <w:t xml:space="preserve">practical </w:t>
      </w:r>
      <w:r w:rsidR="002310F1" w:rsidRPr="009F3853">
        <w:rPr>
          <w:sz w:val="22"/>
          <w:szCs w:val="22"/>
        </w:rPr>
        <w:t>examples to help provide employers with clarity o</w:t>
      </w:r>
      <w:r w:rsidR="007C279C" w:rsidRPr="009F3853">
        <w:rPr>
          <w:sz w:val="22"/>
          <w:szCs w:val="22"/>
        </w:rPr>
        <w:t>n</w:t>
      </w:r>
      <w:r w:rsidR="002310F1" w:rsidRPr="009F3853">
        <w:rPr>
          <w:sz w:val="22"/>
          <w:szCs w:val="22"/>
        </w:rPr>
        <w:t xml:space="preserve"> their obligations.</w:t>
      </w:r>
      <w:r w:rsidRPr="009F3853">
        <w:rPr>
          <w:sz w:val="22"/>
          <w:szCs w:val="22"/>
        </w:rPr>
        <w:t xml:space="preserve">  </w:t>
      </w:r>
    </w:p>
    <w:p w14:paraId="789D3A57" w14:textId="42D408A0" w:rsidR="00944AB7" w:rsidRPr="009F3853" w:rsidRDefault="00944AB7" w:rsidP="00CC51DA">
      <w:pPr>
        <w:pStyle w:val="Default"/>
        <w:rPr>
          <w:sz w:val="22"/>
          <w:szCs w:val="22"/>
        </w:rPr>
      </w:pPr>
    </w:p>
    <w:p w14:paraId="4E43D5F2" w14:textId="4DE3CA6B" w:rsidR="00BC0B57" w:rsidRPr="009F3853" w:rsidRDefault="00BC0B57" w:rsidP="00CC51DA">
      <w:pPr>
        <w:pStyle w:val="Default"/>
        <w:rPr>
          <w:b/>
          <w:bCs/>
          <w:sz w:val="22"/>
          <w:szCs w:val="22"/>
        </w:rPr>
      </w:pPr>
      <w:r w:rsidRPr="009F3853">
        <w:rPr>
          <w:b/>
          <w:bCs/>
          <w:sz w:val="22"/>
          <w:szCs w:val="22"/>
        </w:rPr>
        <w:t xml:space="preserve">Recommendation </w:t>
      </w:r>
    </w:p>
    <w:p w14:paraId="220116E8" w14:textId="54FDE1E7" w:rsidR="008055A3" w:rsidRPr="009F3853" w:rsidRDefault="008055A3" w:rsidP="00CC51DA">
      <w:pPr>
        <w:pStyle w:val="Default"/>
        <w:rPr>
          <w:sz w:val="22"/>
          <w:szCs w:val="22"/>
        </w:rPr>
      </w:pPr>
      <w:r w:rsidRPr="009F3853">
        <w:rPr>
          <w:sz w:val="22"/>
          <w:szCs w:val="22"/>
        </w:rPr>
        <w:t>The Government should consider improving the definition of disability in the Equality Act, or provid</w:t>
      </w:r>
      <w:r w:rsidR="004843B4" w:rsidRPr="009F3853">
        <w:rPr>
          <w:sz w:val="22"/>
          <w:szCs w:val="22"/>
        </w:rPr>
        <w:t xml:space="preserve">e </w:t>
      </w:r>
      <w:r w:rsidRPr="009F3853">
        <w:rPr>
          <w:sz w:val="22"/>
          <w:szCs w:val="22"/>
        </w:rPr>
        <w:t>more supporting information on the practical application of</w:t>
      </w:r>
      <w:r w:rsidR="00DA4C99" w:rsidRPr="009F3853">
        <w:rPr>
          <w:sz w:val="22"/>
          <w:szCs w:val="22"/>
        </w:rPr>
        <w:t xml:space="preserve"> the</w:t>
      </w:r>
      <w:r w:rsidRPr="009F3853">
        <w:rPr>
          <w:sz w:val="22"/>
          <w:szCs w:val="22"/>
        </w:rPr>
        <w:t xml:space="preserve"> definition</w:t>
      </w:r>
      <w:r w:rsidR="006B7B7A" w:rsidRPr="009F3853">
        <w:rPr>
          <w:sz w:val="22"/>
          <w:szCs w:val="22"/>
        </w:rPr>
        <w:t xml:space="preserve"> in regard to eligibility for employment support</w:t>
      </w:r>
      <w:r w:rsidRPr="009F3853">
        <w:rPr>
          <w:sz w:val="22"/>
          <w:szCs w:val="22"/>
        </w:rPr>
        <w:t>, so that it is clear how it applies to people with health conditions</w:t>
      </w:r>
      <w:r w:rsidR="006B7B7A" w:rsidRPr="009F3853">
        <w:rPr>
          <w:sz w:val="22"/>
          <w:szCs w:val="22"/>
        </w:rPr>
        <w:t xml:space="preserve"> like arthritis</w:t>
      </w:r>
      <w:r w:rsidRPr="009F3853">
        <w:rPr>
          <w:sz w:val="22"/>
          <w:szCs w:val="22"/>
        </w:rPr>
        <w:t>.</w:t>
      </w:r>
    </w:p>
    <w:p w14:paraId="436337D5" w14:textId="77777777" w:rsidR="00A3266A" w:rsidRPr="009F3853" w:rsidRDefault="00A3266A" w:rsidP="00CC51DA">
      <w:pPr>
        <w:pStyle w:val="Default"/>
        <w:rPr>
          <w:sz w:val="22"/>
          <w:szCs w:val="22"/>
        </w:rPr>
      </w:pPr>
    </w:p>
    <w:p w14:paraId="4A295FBB" w14:textId="28F2E8FF" w:rsidR="008055A3" w:rsidRPr="009F3853" w:rsidRDefault="008055A3" w:rsidP="00CC51DA">
      <w:pPr>
        <w:pStyle w:val="Default"/>
        <w:rPr>
          <w:b/>
          <w:bCs/>
          <w:sz w:val="22"/>
          <w:szCs w:val="22"/>
        </w:rPr>
      </w:pPr>
      <w:r w:rsidRPr="009F3853">
        <w:rPr>
          <w:b/>
          <w:bCs/>
          <w:sz w:val="22"/>
          <w:szCs w:val="22"/>
        </w:rPr>
        <w:t xml:space="preserve">Context </w:t>
      </w:r>
    </w:p>
    <w:p w14:paraId="081EC4F8" w14:textId="6D06957A" w:rsidR="002438BA" w:rsidRPr="009F3853" w:rsidRDefault="00D841D7" w:rsidP="00CC51DA">
      <w:pPr>
        <w:pStyle w:val="Default"/>
        <w:numPr>
          <w:ilvl w:val="0"/>
          <w:numId w:val="1"/>
        </w:numPr>
        <w:rPr>
          <w:sz w:val="22"/>
          <w:szCs w:val="22"/>
        </w:rPr>
      </w:pPr>
      <w:r w:rsidRPr="009F3853">
        <w:rPr>
          <w:sz w:val="22"/>
          <w:szCs w:val="22"/>
        </w:rPr>
        <w:t xml:space="preserve">In 2020 </w:t>
      </w:r>
      <w:r w:rsidR="009C23FE" w:rsidRPr="009F3853">
        <w:rPr>
          <w:sz w:val="22"/>
          <w:szCs w:val="22"/>
        </w:rPr>
        <w:t>Versus Arthritis research conducted</w:t>
      </w:r>
      <w:r w:rsidRPr="009F3853">
        <w:rPr>
          <w:sz w:val="22"/>
          <w:szCs w:val="22"/>
        </w:rPr>
        <w:t xml:space="preserve"> a survey</w:t>
      </w:r>
      <w:r w:rsidR="009C23FE" w:rsidRPr="009F3853">
        <w:rPr>
          <w:sz w:val="22"/>
          <w:szCs w:val="22"/>
        </w:rPr>
        <w:t xml:space="preserve"> </w:t>
      </w:r>
      <w:r w:rsidR="006B7B7A" w:rsidRPr="009F3853">
        <w:rPr>
          <w:sz w:val="22"/>
          <w:szCs w:val="22"/>
        </w:rPr>
        <w:t>of a representative sample of over 2,200 people with musculoskeletal conditions</w:t>
      </w:r>
      <w:r w:rsidR="003A05C7" w:rsidRPr="009F3853">
        <w:rPr>
          <w:sz w:val="22"/>
          <w:szCs w:val="22"/>
        </w:rPr>
        <w:t>,</w:t>
      </w:r>
      <w:r w:rsidR="002D7702" w:rsidRPr="009F3853">
        <w:rPr>
          <w:sz w:val="22"/>
          <w:szCs w:val="22"/>
        </w:rPr>
        <w:t xml:space="preserve"> to </w:t>
      </w:r>
      <w:r w:rsidR="003A05C7" w:rsidRPr="009F3853">
        <w:rPr>
          <w:sz w:val="22"/>
          <w:szCs w:val="22"/>
        </w:rPr>
        <w:t xml:space="preserve">better </w:t>
      </w:r>
      <w:r w:rsidR="002D7702" w:rsidRPr="009F3853">
        <w:rPr>
          <w:sz w:val="22"/>
          <w:szCs w:val="22"/>
        </w:rPr>
        <w:t>understand the impact of the</w:t>
      </w:r>
      <w:r w:rsidR="003A05C7" w:rsidRPr="009F3853">
        <w:rPr>
          <w:sz w:val="22"/>
          <w:szCs w:val="22"/>
        </w:rPr>
        <w:t>se</w:t>
      </w:r>
      <w:r w:rsidR="002D7702" w:rsidRPr="009F3853">
        <w:rPr>
          <w:sz w:val="22"/>
          <w:szCs w:val="22"/>
        </w:rPr>
        <w:t xml:space="preserve"> condition</w:t>
      </w:r>
      <w:r w:rsidR="003A05C7" w:rsidRPr="009F3853">
        <w:rPr>
          <w:sz w:val="22"/>
          <w:szCs w:val="22"/>
        </w:rPr>
        <w:t>s</w:t>
      </w:r>
      <w:r w:rsidR="002D7702" w:rsidRPr="009F3853">
        <w:rPr>
          <w:sz w:val="22"/>
          <w:szCs w:val="22"/>
        </w:rPr>
        <w:t xml:space="preserve"> on various aspects of </w:t>
      </w:r>
      <w:r w:rsidR="003A05C7" w:rsidRPr="009F3853">
        <w:rPr>
          <w:sz w:val="22"/>
          <w:szCs w:val="22"/>
        </w:rPr>
        <w:t xml:space="preserve">people’s </w:t>
      </w:r>
      <w:r w:rsidR="002D7702" w:rsidRPr="009F3853">
        <w:rPr>
          <w:sz w:val="22"/>
          <w:szCs w:val="22"/>
        </w:rPr>
        <w:t>daily lives</w:t>
      </w:r>
      <w:r w:rsidR="006B7B7A" w:rsidRPr="009F3853">
        <w:rPr>
          <w:sz w:val="22"/>
          <w:szCs w:val="22"/>
        </w:rPr>
        <w:t xml:space="preserve">. The findings </w:t>
      </w:r>
      <w:r w:rsidR="003A05C7" w:rsidRPr="009F3853">
        <w:rPr>
          <w:sz w:val="22"/>
          <w:szCs w:val="22"/>
        </w:rPr>
        <w:t xml:space="preserve">of this survey </w:t>
      </w:r>
      <w:r w:rsidR="006B7B7A" w:rsidRPr="009F3853">
        <w:rPr>
          <w:sz w:val="22"/>
          <w:szCs w:val="22"/>
        </w:rPr>
        <w:t xml:space="preserve">found </w:t>
      </w:r>
      <w:r w:rsidR="003A05C7" w:rsidRPr="009F3853">
        <w:rPr>
          <w:sz w:val="22"/>
          <w:szCs w:val="22"/>
        </w:rPr>
        <w:t xml:space="preserve">that </w:t>
      </w:r>
      <w:r w:rsidR="006B7B7A" w:rsidRPr="009F3853">
        <w:rPr>
          <w:sz w:val="22"/>
          <w:szCs w:val="22"/>
        </w:rPr>
        <w:t>only 42%</w:t>
      </w:r>
      <w:r w:rsidR="003A05C7" w:rsidRPr="009F3853">
        <w:rPr>
          <w:sz w:val="22"/>
          <w:szCs w:val="22"/>
        </w:rPr>
        <w:t xml:space="preserve"> of respondents</w:t>
      </w:r>
      <w:r w:rsidR="006B7B7A" w:rsidRPr="009F3853">
        <w:rPr>
          <w:sz w:val="22"/>
          <w:szCs w:val="22"/>
        </w:rPr>
        <w:t xml:space="preserve"> consider</w:t>
      </w:r>
      <w:r w:rsidR="003A05C7" w:rsidRPr="009F3853">
        <w:rPr>
          <w:sz w:val="22"/>
          <w:szCs w:val="22"/>
        </w:rPr>
        <w:t>ed</w:t>
      </w:r>
      <w:r w:rsidR="006B7B7A" w:rsidRPr="009F3853">
        <w:rPr>
          <w:sz w:val="22"/>
          <w:szCs w:val="22"/>
        </w:rPr>
        <w:t xml:space="preserve"> themselves to be disabled</w:t>
      </w:r>
      <w:r w:rsidR="003A05C7" w:rsidRPr="009F3853">
        <w:rPr>
          <w:sz w:val="22"/>
          <w:szCs w:val="22"/>
        </w:rPr>
        <w:t>,</w:t>
      </w:r>
      <w:r w:rsidR="006B7B7A" w:rsidRPr="009F3853">
        <w:rPr>
          <w:sz w:val="22"/>
          <w:szCs w:val="22"/>
        </w:rPr>
        <w:t xml:space="preserve"> and only 19% said they were formally registered as disabled</w:t>
      </w:r>
      <w:r w:rsidR="006A1308" w:rsidRPr="009F3853">
        <w:rPr>
          <w:sz w:val="22"/>
          <w:szCs w:val="22"/>
        </w:rPr>
        <w:t xml:space="preserve"> to receive support</w:t>
      </w:r>
      <w:r w:rsidR="006B7B7A" w:rsidRPr="009F3853">
        <w:rPr>
          <w:sz w:val="22"/>
          <w:szCs w:val="22"/>
        </w:rPr>
        <w:t>.</w:t>
      </w:r>
      <w:bookmarkStart w:id="4" w:name="_Ref80110637"/>
      <w:r w:rsidR="00320069" w:rsidRPr="009F3853">
        <w:rPr>
          <w:rStyle w:val="EndnoteReference"/>
          <w:sz w:val="22"/>
          <w:szCs w:val="22"/>
        </w:rPr>
        <w:endnoteReference w:id="15"/>
      </w:r>
      <w:bookmarkEnd w:id="4"/>
      <w:r w:rsidR="00BA2807" w:rsidRPr="009F3853">
        <w:rPr>
          <w:sz w:val="22"/>
          <w:szCs w:val="22"/>
        </w:rPr>
        <w:t xml:space="preserve"> </w:t>
      </w:r>
    </w:p>
    <w:p w14:paraId="6D113E64" w14:textId="43E7E6E5" w:rsidR="006B7B7A" w:rsidRPr="009F3853" w:rsidRDefault="002438BA" w:rsidP="00CC51DA">
      <w:pPr>
        <w:pStyle w:val="Default"/>
        <w:numPr>
          <w:ilvl w:val="0"/>
          <w:numId w:val="1"/>
        </w:numPr>
        <w:rPr>
          <w:sz w:val="22"/>
          <w:szCs w:val="22"/>
        </w:rPr>
      </w:pPr>
      <w:r w:rsidRPr="009F3853">
        <w:rPr>
          <w:sz w:val="22"/>
          <w:szCs w:val="22"/>
        </w:rPr>
        <w:t>However, t</w:t>
      </w:r>
      <w:r w:rsidR="00BA2807" w:rsidRPr="009F3853">
        <w:rPr>
          <w:sz w:val="22"/>
          <w:szCs w:val="22"/>
        </w:rPr>
        <w:t>he same research found that over half (53%) of people</w:t>
      </w:r>
      <w:r w:rsidRPr="009F3853">
        <w:rPr>
          <w:sz w:val="22"/>
          <w:szCs w:val="22"/>
        </w:rPr>
        <w:t xml:space="preserve"> </w:t>
      </w:r>
      <w:r w:rsidR="00BA2807" w:rsidRPr="009F3853">
        <w:rPr>
          <w:sz w:val="22"/>
          <w:szCs w:val="22"/>
        </w:rPr>
        <w:t xml:space="preserve">with </w:t>
      </w:r>
      <w:r w:rsidRPr="009F3853">
        <w:rPr>
          <w:sz w:val="22"/>
          <w:szCs w:val="22"/>
        </w:rPr>
        <w:t xml:space="preserve">a </w:t>
      </w:r>
      <w:r w:rsidR="00BA2807" w:rsidRPr="009F3853">
        <w:rPr>
          <w:sz w:val="22"/>
          <w:szCs w:val="22"/>
        </w:rPr>
        <w:t>musculoskeletal condition</w:t>
      </w:r>
      <w:r w:rsidRPr="009F3853">
        <w:rPr>
          <w:sz w:val="22"/>
          <w:szCs w:val="22"/>
        </w:rPr>
        <w:t xml:space="preserve"> </w:t>
      </w:r>
      <w:r w:rsidR="00774850" w:rsidRPr="009F3853">
        <w:rPr>
          <w:sz w:val="22"/>
          <w:szCs w:val="22"/>
        </w:rPr>
        <w:t>who were in</w:t>
      </w:r>
      <w:r w:rsidR="001F014B" w:rsidRPr="009F3853">
        <w:rPr>
          <w:sz w:val="22"/>
          <w:szCs w:val="22"/>
        </w:rPr>
        <w:t xml:space="preserve"> paid employment</w:t>
      </w:r>
      <w:r w:rsidRPr="009F3853">
        <w:rPr>
          <w:sz w:val="22"/>
          <w:szCs w:val="22"/>
        </w:rPr>
        <w:t xml:space="preserve"> said that their symptoms negatively impacted their ability to do their work.</w:t>
      </w:r>
      <w:r w:rsidR="00512555" w:rsidRPr="009F3853">
        <w:rPr>
          <w:sz w:val="22"/>
          <w:szCs w:val="22"/>
        </w:rPr>
        <w:fldChar w:fldCharType="begin"/>
      </w:r>
      <w:r w:rsidR="00512555" w:rsidRPr="009F3853">
        <w:rPr>
          <w:sz w:val="22"/>
          <w:szCs w:val="22"/>
        </w:rPr>
        <w:instrText xml:space="preserve"> NOTEREF _Ref80110637 \f \h </w:instrText>
      </w:r>
      <w:r w:rsidR="009F3853" w:rsidRPr="009F3853">
        <w:rPr>
          <w:sz w:val="22"/>
          <w:szCs w:val="22"/>
        </w:rPr>
        <w:instrText xml:space="preserve"> \* MERGEFORMAT </w:instrText>
      </w:r>
      <w:r w:rsidR="00512555" w:rsidRPr="009F3853">
        <w:rPr>
          <w:sz w:val="22"/>
          <w:szCs w:val="22"/>
        </w:rPr>
      </w:r>
      <w:r w:rsidR="00512555" w:rsidRPr="009F3853">
        <w:rPr>
          <w:sz w:val="22"/>
          <w:szCs w:val="22"/>
        </w:rPr>
        <w:fldChar w:fldCharType="separate"/>
      </w:r>
      <w:r w:rsidR="0026190E" w:rsidRPr="0026190E">
        <w:rPr>
          <w:rStyle w:val="EndnoteReference"/>
          <w:sz w:val="22"/>
          <w:szCs w:val="22"/>
        </w:rPr>
        <w:t>14</w:t>
      </w:r>
      <w:r w:rsidR="00512555" w:rsidRPr="009F3853">
        <w:rPr>
          <w:sz w:val="22"/>
          <w:szCs w:val="22"/>
        </w:rPr>
        <w:fldChar w:fldCharType="end"/>
      </w:r>
      <w:r w:rsidRPr="009F3853">
        <w:rPr>
          <w:sz w:val="22"/>
          <w:szCs w:val="22"/>
        </w:rPr>
        <w:t xml:space="preserve">  </w:t>
      </w:r>
      <w:r w:rsidR="00BA2807" w:rsidRPr="009F3853">
        <w:rPr>
          <w:sz w:val="22"/>
          <w:szCs w:val="22"/>
        </w:rPr>
        <w:t xml:space="preserve">  </w:t>
      </w:r>
      <w:r w:rsidR="006B7B7A" w:rsidRPr="009F3853">
        <w:rPr>
          <w:sz w:val="22"/>
          <w:szCs w:val="22"/>
        </w:rPr>
        <w:t xml:space="preserve"> </w:t>
      </w:r>
    </w:p>
    <w:p w14:paraId="5B5BC70D" w14:textId="7499F003" w:rsidR="00944AB7" w:rsidRPr="009F3853" w:rsidRDefault="002438BA" w:rsidP="00CC51DA">
      <w:pPr>
        <w:pStyle w:val="Default"/>
        <w:numPr>
          <w:ilvl w:val="0"/>
          <w:numId w:val="1"/>
        </w:numPr>
        <w:rPr>
          <w:sz w:val="22"/>
          <w:szCs w:val="22"/>
        </w:rPr>
      </w:pPr>
      <w:r w:rsidRPr="009F3853">
        <w:rPr>
          <w:sz w:val="22"/>
          <w:szCs w:val="22"/>
        </w:rPr>
        <w:t>P</w:t>
      </w:r>
      <w:r w:rsidR="008055A3" w:rsidRPr="009F3853">
        <w:rPr>
          <w:sz w:val="22"/>
          <w:szCs w:val="22"/>
        </w:rPr>
        <w:t xml:space="preserve">eople with musculoskeletal conditions and their employers may not understand </w:t>
      </w:r>
      <w:r w:rsidR="005720AD" w:rsidRPr="009F3853">
        <w:rPr>
          <w:sz w:val="22"/>
          <w:szCs w:val="22"/>
        </w:rPr>
        <w:t>whether</w:t>
      </w:r>
      <w:r w:rsidR="008055A3" w:rsidRPr="009F3853">
        <w:rPr>
          <w:sz w:val="22"/>
          <w:szCs w:val="22"/>
        </w:rPr>
        <w:t xml:space="preserve"> they meet the definition of disability </w:t>
      </w:r>
      <w:r w:rsidR="009066B8" w:rsidRPr="009F3853">
        <w:rPr>
          <w:sz w:val="22"/>
          <w:szCs w:val="22"/>
        </w:rPr>
        <w:t xml:space="preserve">as </w:t>
      </w:r>
      <w:r w:rsidR="008055A3" w:rsidRPr="009F3853">
        <w:rPr>
          <w:sz w:val="22"/>
          <w:szCs w:val="22"/>
        </w:rPr>
        <w:t xml:space="preserve">set out by the Equality Act, and so </w:t>
      </w:r>
      <w:r w:rsidR="003C437C" w:rsidRPr="009F3853">
        <w:rPr>
          <w:sz w:val="22"/>
          <w:szCs w:val="22"/>
        </w:rPr>
        <w:t xml:space="preserve">are often </w:t>
      </w:r>
      <w:r w:rsidR="008055A3" w:rsidRPr="009F3853">
        <w:rPr>
          <w:sz w:val="22"/>
          <w:szCs w:val="22"/>
        </w:rPr>
        <w:t>un</w:t>
      </w:r>
      <w:r w:rsidR="005720AD" w:rsidRPr="009F3853">
        <w:rPr>
          <w:sz w:val="22"/>
          <w:szCs w:val="22"/>
        </w:rPr>
        <w:t>sure about</w:t>
      </w:r>
      <w:r w:rsidR="008055A3" w:rsidRPr="009F3853">
        <w:rPr>
          <w:sz w:val="22"/>
          <w:szCs w:val="22"/>
        </w:rPr>
        <w:t xml:space="preserve"> </w:t>
      </w:r>
      <w:r w:rsidRPr="009F3853">
        <w:rPr>
          <w:sz w:val="22"/>
          <w:szCs w:val="22"/>
        </w:rPr>
        <w:t xml:space="preserve">what their </w:t>
      </w:r>
      <w:r w:rsidR="008055A3" w:rsidRPr="009F3853">
        <w:rPr>
          <w:sz w:val="22"/>
          <w:szCs w:val="22"/>
        </w:rPr>
        <w:t>right</w:t>
      </w:r>
      <w:r w:rsidRPr="009F3853">
        <w:rPr>
          <w:sz w:val="22"/>
          <w:szCs w:val="22"/>
        </w:rPr>
        <w:t>s are regard</w:t>
      </w:r>
      <w:r w:rsidR="005A00F0" w:rsidRPr="009F3853">
        <w:rPr>
          <w:sz w:val="22"/>
          <w:szCs w:val="22"/>
        </w:rPr>
        <w:t>ing</w:t>
      </w:r>
      <w:r w:rsidR="008055A3" w:rsidRPr="009F3853">
        <w:rPr>
          <w:sz w:val="22"/>
          <w:szCs w:val="22"/>
        </w:rPr>
        <w:t xml:space="preserve"> </w:t>
      </w:r>
      <w:r w:rsidRPr="009F3853">
        <w:rPr>
          <w:sz w:val="22"/>
          <w:szCs w:val="22"/>
        </w:rPr>
        <w:t>disability</w:t>
      </w:r>
      <w:r w:rsidR="009066B8" w:rsidRPr="009F3853">
        <w:rPr>
          <w:sz w:val="22"/>
          <w:szCs w:val="22"/>
        </w:rPr>
        <w:t xml:space="preserve"> employment</w:t>
      </w:r>
      <w:r w:rsidRPr="009F3853">
        <w:rPr>
          <w:sz w:val="22"/>
          <w:szCs w:val="22"/>
        </w:rPr>
        <w:t xml:space="preserve"> support</w:t>
      </w:r>
      <w:r w:rsidR="008055A3" w:rsidRPr="009F3853">
        <w:rPr>
          <w:sz w:val="22"/>
          <w:szCs w:val="22"/>
        </w:rPr>
        <w:t xml:space="preserve">. </w:t>
      </w:r>
      <w:r w:rsidR="00083B65" w:rsidRPr="009F3853">
        <w:rPr>
          <w:sz w:val="22"/>
          <w:szCs w:val="22"/>
        </w:rPr>
        <w:t xml:space="preserve">This is especially true for people who experience </w:t>
      </w:r>
      <w:r w:rsidR="008055A3" w:rsidRPr="009F3853">
        <w:rPr>
          <w:sz w:val="22"/>
          <w:szCs w:val="22"/>
        </w:rPr>
        <w:t>fluctuating</w:t>
      </w:r>
      <w:r w:rsidRPr="009F3853">
        <w:rPr>
          <w:sz w:val="22"/>
          <w:szCs w:val="22"/>
        </w:rPr>
        <w:t xml:space="preserve"> </w:t>
      </w:r>
      <w:r w:rsidR="008055A3" w:rsidRPr="009F3853">
        <w:rPr>
          <w:sz w:val="22"/>
          <w:szCs w:val="22"/>
        </w:rPr>
        <w:t>symptoms</w:t>
      </w:r>
      <w:r w:rsidRPr="009F3853">
        <w:rPr>
          <w:sz w:val="22"/>
          <w:szCs w:val="22"/>
        </w:rPr>
        <w:t xml:space="preserve"> or </w:t>
      </w:r>
      <w:r w:rsidR="00083B65" w:rsidRPr="009F3853">
        <w:rPr>
          <w:sz w:val="22"/>
          <w:szCs w:val="22"/>
        </w:rPr>
        <w:t>have a condition w</w:t>
      </w:r>
      <w:r w:rsidRPr="009F3853">
        <w:rPr>
          <w:sz w:val="22"/>
          <w:szCs w:val="22"/>
        </w:rPr>
        <w:t xml:space="preserve">hich </w:t>
      </w:r>
      <w:r w:rsidR="00083B65" w:rsidRPr="009F3853">
        <w:rPr>
          <w:sz w:val="22"/>
          <w:szCs w:val="22"/>
        </w:rPr>
        <w:t>is</w:t>
      </w:r>
      <w:r w:rsidRPr="009F3853">
        <w:rPr>
          <w:sz w:val="22"/>
          <w:szCs w:val="22"/>
        </w:rPr>
        <w:t xml:space="preserve"> not</w:t>
      </w:r>
      <w:r w:rsidR="00774850" w:rsidRPr="009F3853">
        <w:rPr>
          <w:sz w:val="22"/>
          <w:szCs w:val="22"/>
        </w:rPr>
        <w:t xml:space="preserve"> </w:t>
      </w:r>
      <w:r w:rsidR="00D72037" w:rsidRPr="009F3853">
        <w:rPr>
          <w:sz w:val="22"/>
          <w:szCs w:val="22"/>
        </w:rPr>
        <w:t xml:space="preserve">obviously </w:t>
      </w:r>
      <w:r w:rsidRPr="009F3853">
        <w:rPr>
          <w:sz w:val="22"/>
          <w:szCs w:val="22"/>
        </w:rPr>
        <w:t>visible,</w:t>
      </w:r>
      <w:r w:rsidR="005720AD" w:rsidRPr="009F3853">
        <w:rPr>
          <w:sz w:val="22"/>
          <w:szCs w:val="22"/>
        </w:rPr>
        <w:t xml:space="preserve"> as they </w:t>
      </w:r>
      <w:r w:rsidR="003F433C" w:rsidRPr="009F3853">
        <w:rPr>
          <w:sz w:val="22"/>
          <w:szCs w:val="22"/>
        </w:rPr>
        <w:t>often report feeling that they are not eligible for additional support and resources</w:t>
      </w:r>
      <w:r w:rsidR="00D72037" w:rsidRPr="009F3853">
        <w:rPr>
          <w:sz w:val="22"/>
          <w:szCs w:val="22"/>
        </w:rPr>
        <w:t>,</w:t>
      </w:r>
      <w:r w:rsidR="008055A3" w:rsidRPr="009F3853">
        <w:rPr>
          <w:sz w:val="22"/>
          <w:szCs w:val="22"/>
        </w:rPr>
        <w:t xml:space="preserve"> even though the</w:t>
      </w:r>
      <w:r w:rsidR="00D72037" w:rsidRPr="009F3853">
        <w:rPr>
          <w:sz w:val="22"/>
          <w:szCs w:val="22"/>
        </w:rPr>
        <w:t xml:space="preserve">se types of conditions are </w:t>
      </w:r>
      <w:r w:rsidR="009E563B" w:rsidRPr="009F3853">
        <w:rPr>
          <w:sz w:val="22"/>
          <w:szCs w:val="22"/>
        </w:rPr>
        <w:t>covered by the</w:t>
      </w:r>
      <w:r w:rsidR="008055A3" w:rsidRPr="009F3853">
        <w:rPr>
          <w:sz w:val="22"/>
          <w:szCs w:val="22"/>
        </w:rPr>
        <w:t xml:space="preserve"> Act</w:t>
      </w:r>
      <w:r w:rsidR="009E563B" w:rsidRPr="009F3853">
        <w:rPr>
          <w:sz w:val="22"/>
          <w:szCs w:val="22"/>
        </w:rPr>
        <w:t xml:space="preserve">. </w:t>
      </w:r>
    </w:p>
    <w:p w14:paraId="3CED685D" w14:textId="67EEFB17" w:rsidR="00FD519F" w:rsidRPr="009F3853" w:rsidRDefault="00AB30B9" w:rsidP="00CC51DA">
      <w:pPr>
        <w:pStyle w:val="Default"/>
        <w:numPr>
          <w:ilvl w:val="0"/>
          <w:numId w:val="1"/>
        </w:numPr>
        <w:rPr>
          <w:sz w:val="22"/>
          <w:szCs w:val="22"/>
        </w:rPr>
      </w:pPr>
      <w:r w:rsidRPr="009F3853">
        <w:rPr>
          <w:sz w:val="22"/>
          <w:szCs w:val="22"/>
        </w:rPr>
        <w:t>A clearer definition of disability</w:t>
      </w:r>
      <w:r w:rsidR="00032895" w:rsidRPr="009F3853">
        <w:rPr>
          <w:sz w:val="22"/>
          <w:szCs w:val="22"/>
        </w:rPr>
        <w:t>,</w:t>
      </w:r>
      <w:r w:rsidR="00B77361" w:rsidRPr="009F3853">
        <w:rPr>
          <w:sz w:val="22"/>
          <w:szCs w:val="22"/>
        </w:rPr>
        <w:t xml:space="preserve"> or</w:t>
      </w:r>
      <w:r w:rsidRPr="009F3853">
        <w:rPr>
          <w:sz w:val="22"/>
          <w:szCs w:val="22"/>
        </w:rPr>
        <w:t xml:space="preserve"> </w:t>
      </w:r>
      <w:r w:rsidR="00097D76" w:rsidRPr="009F3853">
        <w:rPr>
          <w:sz w:val="22"/>
          <w:szCs w:val="22"/>
        </w:rPr>
        <w:t xml:space="preserve">more information </w:t>
      </w:r>
      <w:r w:rsidR="00B77361" w:rsidRPr="009F3853">
        <w:rPr>
          <w:sz w:val="22"/>
          <w:szCs w:val="22"/>
        </w:rPr>
        <w:t xml:space="preserve">and guidance </w:t>
      </w:r>
      <w:r w:rsidR="00097D76" w:rsidRPr="009F3853">
        <w:rPr>
          <w:sz w:val="22"/>
          <w:szCs w:val="22"/>
        </w:rPr>
        <w:t xml:space="preserve">detailing </w:t>
      </w:r>
      <w:r w:rsidRPr="009F3853">
        <w:rPr>
          <w:sz w:val="22"/>
          <w:szCs w:val="22"/>
        </w:rPr>
        <w:t xml:space="preserve">how it should be applied in practice when </w:t>
      </w:r>
      <w:r w:rsidR="00097D76" w:rsidRPr="009F3853">
        <w:rPr>
          <w:sz w:val="22"/>
          <w:szCs w:val="22"/>
        </w:rPr>
        <w:t>assessing people’s needs</w:t>
      </w:r>
      <w:r w:rsidR="00032895" w:rsidRPr="009F3853">
        <w:rPr>
          <w:sz w:val="22"/>
          <w:szCs w:val="22"/>
        </w:rPr>
        <w:t>,</w:t>
      </w:r>
      <w:r w:rsidR="00097D76" w:rsidRPr="009F3853">
        <w:rPr>
          <w:sz w:val="22"/>
          <w:szCs w:val="22"/>
        </w:rPr>
        <w:t xml:space="preserve"> is needed to help </w:t>
      </w:r>
      <w:r w:rsidR="00401118" w:rsidRPr="009F3853">
        <w:rPr>
          <w:sz w:val="22"/>
          <w:szCs w:val="22"/>
        </w:rPr>
        <w:t>provide clarity and assurance for employees wit</w:t>
      </w:r>
      <w:r w:rsidR="00032895" w:rsidRPr="009F3853">
        <w:rPr>
          <w:sz w:val="22"/>
          <w:szCs w:val="22"/>
        </w:rPr>
        <w:t xml:space="preserve">h long-term health conditions on what support they can expect and ask for. </w:t>
      </w:r>
    </w:p>
    <w:p w14:paraId="56237FB0" w14:textId="490CFCD8" w:rsidR="00A254C1" w:rsidRPr="009F3853" w:rsidRDefault="00CE10A1" w:rsidP="00CC51DA">
      <w:pPr>
        <w:pStyle w:val="Default"/>
        <w:numPr>
          <w:ilvl w:val="0"/>
          <w:numId w:val="1"/>
        </w:numPr>
        <w:rPr>
          <w:sz w:val="22"/>
          <w:szCs w:val="22"/>
        </w:rPr>
      </w:pPr>
      <w:r w:rsidRPr="009F3853">
        <w:rPr>
          <w:sz w:val="22"/>
          <w:szCs w:val="22"/>
        </w:rPr>
        <w:t xml:space="preserve">The Government could also consider working with third sector organisations </w:t>
      </w:r>
      <w:r w:rsidR="006B731B" w:rsidRPr="009F3853">
        <w:rPr>
          <w:sz w:val="22"/>
          <w:szCs w:val="22"/>
        </w:rPr>
        <w:t>t</w:t>
      </w:r>
      <w:r w:rsidR="00824D46" w:rsidRPr="009F3853">
        <w:rPr>
          <w:sz w:val="22"/>
          <w:szCs w:val="22"/>
        </w:rPr>
        <w:t xml:space="preserve">o </w:t>
      </w:r>
      <w:r w:rsidR="00EC17F5" w:rsidRPr="009F3853">
        <w:rPr>
          <w:sz w:val="22"/>
          <w:szCs w:val="22"/>
        </w:rPr>
        <w:t>share</w:t>
      </w:r>
      <w:r w:rsidR="00824D46" w:rsidRPr="009F3853">
        <w:rPr>
          <w:sz w:val="22"/>
          <w:szCs w:val="22"/>
        </w:rPr>
        <w:t xml:space="preserve"> this</w:t>
      </w:r>
      <w:r w:rsidR="00EC17F5" w:rsidRPr="009F3853">
        <w:rPr>
          <w:sz w:val="22"/>
          <w:szCs w:val="22"/>
        </w:rPr>
        <w:t xml:space="preserve"> information</w:t>
      </w:r>
      <w:r w:rsidR="00A84743" w:rsidRPr="009F3853">
        <w:rPr>
          <w:sz w:val="22"/>
          <w:szCs w:val="22"/>
        </w:rPr>
        <w:t xml:space="preserve"> with</w:t>
      </w:r>
      <w:r w:rsidR="00EC17F5" w:rsidRPr="009F3853">
        <w:rPr>
          <w:sz w:val="22"/>
          <w:szCs w:val="22"/>
        </w:rPr>
        <w:t xml:space="preserve"> </w:t>
      </w:r>
      <w:r w:rsidR="00A84743" w:rsidRPr="009F3853">
        <w:rPr>
          <w:sz w:val="22"/>
          <w:szCs w:val="22"/>
        </w:rPr>
        <w:t>the communities they support</w:t>
      </w:r>
      <w:r w:rsidR="00824D46" w:rsidRPr="009F3853">
        <w:rPr>
          <w:sz w:val="22"/>
          <w:szCs w:val="22"/>
        </w:rPr>
        <w:t>,</w:t>
      </w:r>
      <w:r w:rsidR="00A84743" w:rsidRPr="009F3853">
        <w:rPr>
          <w:sz w:val="22"/>
          <w:szCs w:val="22"/>
        </w:rPr>
        <w:t xml:space="preserve"> </w:t>
      </w:r>
      <w:r w:rsidR="00EC17F5" w:rsidRPr="009F3853">
        <w:rPr>
          <w:sz w:val="22"/>
          <w:szCs w:val="22"/>
        </w:rPr>
        <w:t xml:space="preserve">and signpost to </w:t>
      </w:r>
      <w:r w:rsidR="00A84743" w:rsidRPr="009F3853">
        <w:rPr>
          <w:sz w:val="22"/>
          <w:szCs w:val="22"/>
        </w:rPr>
        <w:t xml:space="preserve">resources </w:t>
      </w:r>
      <w:r w:rsidR="00ED0BF7" w:rsidRPr="009F3853">
        <w:rPr>
          <w:sz w:val="22"/>
          <w:szCs w:val="22"/>
        </w:rPr>
        <w:t xml:space="preserve">on </w:t>
      </w:r>
      <w:r w:rsidR="00A84743" w:rsidRPr="009F3853">
        <w:rPr>
          <w:sz w:val="22"/>
          <w:szCs w:val="22"/>
        </w:rPr>
        <w:t xml:space="preserve">employment and disability benefits </w:t>
      </w:r>
      <w:r w:rsidR="00B01F04" w:rsidRPr="009F3853">
        <w:rPr>
          <w:sz w:val="22"/>
          <w:szCs w:val="22"/>
        </w:rPr>
        <w:t xml:space="preserve">to help improve awareness. </w:t>
      </w:r>
    </w:p>
    <w:p w14:paraId="7D4B73EE" w14:textId="77777777" w:rsidR="00591AE5" w:rsidRPr="009F3853" w:rsidRDefault="00591AE5" w:rsidP="00CC51DA">
      <w:pPr>
        <w:pStyle w:val="Default"/>
        <w:rPr>
          <w:b/>
          <w:bCs/>
          <w:sz w:val="22"/>
          <w:szCs w:val="22"/>
          <w:u w:val="single"/>
        </w:rPr>
      </w:pPr>
    </w:p>
    <w:p w14:paraId="5A6F636C" w14:textId="033E04D1" w:rsidR="00A40367" w:rsidRPr="009F3853" w:rsidRDefault="002D39DD" w:rsidP="00CC51DA">
      <w:pPr>
        <w:pStyle w:val="Default"/>
        <w:rPr>
          <w:sz w:val="22"/>
          <w:szCs w:val="22"/>
          <w:u w:val="single"/>
        </w:rPr>
      </w:pPr>
      <w:r w:rsidRPr="009F3853">
        <w:rPr>
          <w:b/>
          <w:bCs/>
          <w:sz w:val="22"/>
          <w:szCs w:val="22"/>
          <w:u w:val="single"/>
        </w:rPr>
        <w:t xml:space="preserve">Theme </w:t>
      </w:r>
      <w:r w:rsidR="00A40367" w:rsidRPr="009F3853">
        <w:rPr>
          <w:b/>
          <w:bCs/>
          <w:sz w:val="22"/>
          <w:szCs w:val="22"/>
          <w:u w:val="single"/>
        </w:rPr>
        <w:t xml:space="preserve">2: Improving Employment Support </w:t>
      </w:r>
    </w:p>
    <w:p w14:paraId="7E45FA27" w14:textId="78DC04FF" w:rsidR="00A40367" w:rsidRPr="009F3853" w:rsidRDefault="00A40367" w:rsidP="00CC51DA">
      <w:pPr>
        <w:pStyle w:val="Default"/>
        <w:numPr>
          <w:ilvl w:val="0"/>
          <w:numId w:val="7"/>
        </w:numPr>
        <w:rPr>
          <w:sz w:val="22"/>
          <w:szCs w:val="22"/>
        </w:rPr>
      </w:pPr>
      <w:r w:rsidRPr="009F3853">
        <w:rPr>
          <w:sz w:val="22"/>
          <w:szCs w:val="22"/>
        </w:rPr>
        <w:t xml:space="preserve">What more could we do to further support employers to improve work opportunities for disabled people through Access to Work and Disability Confident? </w:t>
      </w:r>
    </w:p>
    <w:p w14:paraId="01A3CC98" w14:textId="77777777" w:rsidR="00A40367" w:rsidRPr="009F3853" w:rsidRDefault="00A40367" w:rsidP="00CC51DA">
      <w:pPr>
        <w:pStyle w:val="Default"/>
        <w:rPr>
          <w:sz w:val="22"/>
          <w:szCs w:val="22"/>
        </w:rPr>
      </w:pPr>
    </w:p>
    <w:p w14:paraId="6968A803" w14:textId="36D94097" w:rsidR="00635D3D" w:rsidRPr="009F3853" w:rsidRDefault="00635D3D" w:rsidP="00CC51DA">
      <w:pPr>
        <w:pStyle w:val="Default"/>
        <w:rPr>
          <w:b/>
          <w:bCs/>
          <w:sz w:val="22"/>
          <w:szCs w:val="22"/>
        </w:rPr>
      </w:pPr>
      <w:r w:rsidRPr="009F3853">
        <w:rPr>
          <w:b/>
          <w:bCs/>
          <w:sz w:val="22"/>
          <w:szCs w:val="22"/>
        </w:rPr>
        <w:t xml:space="preserve">Recommendation </w:t>
      </w:r>
    </w:p>
    <w:p w14:paraId="6F02737F" w14:textId="504544E6" w:rsidR="00635D3D" w:rsidRPr="009F3853" w:rsidRDefault="00430E85" w:rsidP="00CC51DA">
      <w:pPr>
        <w:pStyle w:val="Default"/>
        <w:rPr>
          <w:sz w:val="22"/>
          <w:szCs w:val="22"/>
        </w:rPr>
      </w:pPr>
      <w:r w:rsidRPr="009F3853">
        <w:rPr>
          <w:sz w:val="22"/>
          <w:szCs w:val="22"/>
        </w:rPr>
        <w:lastRenderedPageBreak/>
        <w:t xml:space="preserve">The Department of Work and Pensions </w:t>
      </w:r>
      <w:r w:rsidR="005749B6" w:rsidRPr="009F3853">
        <w:rPr>
          <w:sz w:val="22"/>
          <w:szCs w:val="22"/>
        </w:rPr>
        <w:t xml:space="preserve">(DWP) </w:t>
      </w:r>
      <w:r w:rsidRPr="009F3853">
        <w:rPr>
          <w:sz w:val="22"/>
          <w:szCs w:val="22"/>
        </w:rPr>
        <w:t xml:space="preserve">should </w:t>
      </w:r>
      <w:r w:rsidR="00286A4A" w:rsidRPr="009F3853">
        <w:rPr>
          <w:sz w:val="22"/>
          <w:szCs w:val="22"/>
        </w:rPr>
        <w:t xml:space="preserve">significantly </w:t>
      </w:r>
      <w:r w:rsidRPr="009F3853">
        <w:rPr>
          <w:sz w:val="22"/>
          <w:szCs w:val="22"/>
        </w:rPr>
        <w:t xml:space="preserve">expand the data they collect on the Access to </w:t>
      </w:r>
      <w:r w:rsidR="53C073E5" w:rsidRPr="009F3853">
        <w:rPr>
          <w:sz w:val="22"/>
          <w:szCs w:val="22"/>
        </w:rPr>
        <w:t>W</w:t>
      </w:r>
      <w:r w:rsidRPr="009F3853">
        <w:rPr>
          <w:sz w:val="22"/>
          <w:szCs w:val="22"/>
        </w:rPr>
        <w:t>ork scheme</w:t>
      </w:r>
      <w:r w:rsidR="00286A4A" w:rsidRPr="009F3853">
        <w:rPr>
          <w:sz w:val="22"/>
          <w:szCs w:val="22"/>
        </w:rPr>
        <w:t xml:space="preserve"> </w:t>
      </w:r>
      <w:r w:rsidR="006E7A2B" w:rsidRPr="009F3853">
        <w:rPr>
          <w:sz w:val="22"/>
          <w:szCs w:val="22"/>
        </w:rPr>
        <w:t>including:</w:t>
      </w:r>
      <w:r w:rsidR="00286A4A" w:rsidRPr="009F3853">
        <w:rPr>
          <w:sz w:val="22"/>
          <w:szCs w:val="22"/>
        </w:rPr>
        <w:t xml:space="preserve"> </w:t>
      </w:r>
      <w:r w:rsidR="00D27BE8" w:rsidRPr="009F3853">
        <w:rPr>
          <w:sz w:val="22"/>
          <w:szCs w:val="22"/>
        </w:rPr>
        <w:t xml:space="preserve">more </w:t>
      </w:r>
      <w:r w:rsidR="00286A4A" w:rsidRPr="009F3853">
        <w:rPr>
          <w:sz w:val="22"/>
          <w:szCs w:val="22"/>
        </w:rPr>
        <w:t>detailed</w:t>
      </w:r>
      <w:r w:rsidR="000E7AD4" w:rsidRPr="009F3853">
        <w:rPr>
          <w:sz w:val="22"/>
          <w:szCs w:val="22"/>
        </w:rPr>
        <w:t xml:space="preserve"> demographic </w:t>
      </w:r>
      <w:r w:rsidR="00286A4A" w:rsidRPr="009F3853">
        <w:rPr>
          <w:sz w:val="22"/>
          <w:szCs w:val="22"/>
        </w:rPr>
        <w:t xml:space="preserve">information on </w:t>
      </w:r>
      <w:r w:rsidR="00400ACD" w:rsidRPr="009F3853">
        <w:rPr>
          <w:sz w:val="22"/>
          <w:szCs w:val="22"/>
        </w:rPr>
        <w:t xml:space="preserve">the </w:t>
      </w:r>
      <w:r w:rsidR="00286A4A" w:rsidRPr="009F3853">
        <w:rPr>
          <w:sz w:val="22"/>
          <w:szCs w:val="22"/>
        </w:rPr>
        <w:t xml:space="preserve">scheme’s users, </w:t>
      </w:r>
      <w:r w:rsidR="0083049A" w:rsidRPr="009F3853">
        <w:rPr>
          <w:sz w:val="22"/>
          <w:szCs w:val="22"/>
        </w:rPr>
        <w:t>use of the scheme across different sectors</w:t>
      </w:r>
      <w:r w:rsidR="00791A54" w:rsidRPr="009F3853">
        <w:rPr>
          <w:sz w:val="22"/>
          <w:szCs w:val="22"/>
        </w:rPr>
        <w:t xml:space="preserve"> and </w:t>
      </w:r>
      <w:r w:rsidR="0083049A" w:rsidRPr="009F3853">
        <w:rPr>
          <w:sz w:val="22"/>
          <w:szCs w:val="22"/>
        </w:rPr>
        <w:t>types</w:t>
      </w:r>
      <w:r w:rsidR="00D00D6D" w:rsidRPr="009F3853">
        <w:rPr>
          <w:sz w:val="22"/>
          <w:szCs w:val="22"/>
        </w:rPr>
        <w:t xml:space="preserve"> and size</w:t>
      </w:r>
      <w:r w:rsidR="00791A54" w:rsidRPr="009F3853">
        <w:rPr>
          <w:sz w:val="22"/>
          <w:szCs w:val="22"/>
        </w:rPr>
        <w:t>s</w:t>
      </w:r>
      <w:r w:rsidR="0083049A" w:rsidRPr="009F3853">
        <w:rPr>
          <w:sz w:val="22"/>
          <w:szCs w:val="22"/>
        </w:rPr>
        <w:t xml:space="preserve"> of employer</w:t>
      </w:r>
      <w:r w:rsidR="00D00D6D" w:rsidRPr="009F3853">
        <w:rPr>
          <w:sz w:val="22"/>
          <w:szCs w:val="22"/>
        </w:rPr>
        <w:t>,</w:t>
      </w:r>
      <w:r w:rsidR="005E65C4" w:rsidRPr="009F3853">
        <w:rPr>
          <w:sz w:val="22"/>
          <w:szCs w:val="22"/>
        </w:rPr>
        <w:t xml:space="preserve"> the</w:t>
      </w:r>
      <w:r w:rsidR="0083049A" w:rsidRPr="009F3853">
        <w:rPr>
          <w:sz w:val="22"/>
          <w:szCs w:val="22"/>
        </w:rPr>
        <w:t xml:space="preserve"> </w:t>
      </w:r>
      <w:r w:rsidR="009112E4" w:rsidRPr="009F3853">
        <w:rPr>
          <w:sz w:val="22"/>
          <w:szCs w:val="22"/>
        </w:rPr>
        <w:t>p</w:t>
      </w:r>
      <w:r w:rsidR="007347E2" w:rsidRPr="009F3853">
        <w:rPr>
          <w:sz w:val="22"/>
          <w:szCs w:val="22"/>
        </w:rPr>
        <w:t>roportion</w:t>
      </w:r>
      <w:r w:rsidR="009112E4" w:rsidRPr="009F3853">
        <w:rPr>
          <w:sz w:val="22"/>
          <w:szCs w:val="22"/>
        </w:rPr>
        <w:t xml:space="preserve"> of </w:t>
      </w:r>
      <w:r w:rsidR="00D27BE8" w:rsidRPr="009F3853">
        <w:rPr>
          <w:sz w:val="22"/>
          <w:szCs w:val="22"/>
        </w:rPr>
        <w:t>recipients</w:t>
      </w:r>
      <w:r w:rsidR="009112E4" w:rsidRPr="009F3853">
        <w:rPr>
          <w:sz w:val="22"/>
          <w:szCs w:val="22"/>
        </w:rPr>
        <w:t xml:space="preserve"> receiving support for more than one condition</w:t>
      </w:r>
      <w:r w:rsidR="007347E2" w:rsidRPr="009F3853">
        <w:rPr>
          <w:sz w:val="22"/>
          <w:szCs w:val="22"/>
        </w:rPr>
        <w:t>,</w:t>
      </w:r>
      <w:r w:rsidR="00791A54" w:rsidRPr="009F3853">
        <w:rPr>
          <w:sz w:val="22"/>
          <w:szCs w:val="22"/>
        </w:rPr>
        <w:t xml:space="preserve"> </w:t>
      </w:r>
      <w:r w:rsidR="00286A4A" w:rsidRPr="009F3853">
        <w:rPr>
          <w:sz w:val="22"/>
          <w:szCs w:val="22"/>
        </w:rPr>
        <w:t xml:space="preserve">and </w:t>
      </w:r>
      <w:r w:rsidR="005749B6" w:rsidRPr="009F3853">
        <w:rPr>
          <w:sz w:val="22"/>
          <w:szCs w:val="22"/>
        </w:rPr>
        <w:t xml:space="preserve">data on </w:t>
      </w:r>
      <w:r w:rsidR="00286A4A" w:rsidRPr="009F3853">
        <w:rPr>
          <w:sz w:val="22"/>
          <w:szCs w:val="22"/>
        </w:rPr>
        <w:t>job retention</w:t>
      </w:r>
      <w:r w:rsidR="005749B6" w:rsidRPr="009F3853">
        <w:rPr>
          <w:sz w:val="22"/>
          <w:szCs w:val="22"/>
        </w:rPr>
        <w:t>.</w:t>
      </w:r>
      <w:r w:rsidR="007347E2" w:rsidRPr="009F3853">
        <w:rPr>
          <w:sz w:val="22"/>
          <w:szCs w:val="22"/>
        </w:rPr>
        <w:t xml:space="preserve"> DWP should also commit to </w:t>
      </w:r>
      <w:r w:rsidR="000355B1" w:rsidRPr="009F3853">
        <w:rPr>
          <w:sz w:val="22"/>
          <w:szCs w:val="22"/>
        </w:rPr>
        <w:t>routinely</w:t>
      </w:r>
      <w:r w:rsidR="00C020A7" w:rsidRPr="009F3853">
        <w:rPr>
          <w:sz w:val="22"/>
          <w:szCs w:val="22"/>
        </w:rPr>
        <w:t xml:space="preserve"> seeking feedback directly from a wide range of people who have experience of navigating the </w:t>
      </w:r>
      <w:r w:rsidR="00526730" w:rsidRPr="009F3853">
        <w:rPr>
          <w:sz w:val="22"/>
          <w:szCs w:val="22"/>
        </w:rPr>
        <w:t>Access to Work</w:t>
      </w:r>
      <w:r w:rsidR="00795635" w:rsidRPr="009F3853">
        <w:rPr>
          <w:sz w:val="22"/>
          <w:szCs w:val="22"/>
        </w:rPr>
        <w:t xml:space="preserve"> </w:t>
      </w:r>
      <w:r w:rsidR="00C020A7" w:rsidRPr="009F3853">
        <w:rPr>
          <w:sz w:val="22"/>
          <w:szCs w:val="22"/>
        </w:rPr>
        <w:t xml:space="preserve">scheme. </w:t>
      </w:r>
      <w:r w:rsidR="005749B6" w:rsidRPr="009F3853">
        <w:rPr>
          <w:sz w:val="22"/>
          <w:szCs w:val="22"/>
        </w:rPr>
        <w:t>This</w:t>
      </w:r>
      <w:r w:rsidR="007347E2" w:rsidRPr="009F3853">
        <w:rPr>
          <w:sz w:val="22"/>
          <w:szCs w:val="22"/>
        </w:rPr>
        <w:t xml:space="preserve"> additional</w:t>
      </w:r>
      <w:r w:rsidR="005749B6" w:rsidRPr="009F3853">
        <w:rPr>
          <w:sz w:val="22"/>
          <w:szCs w:val="22"/>
        </w:rPr>
        <w:t xml:space="preserve"> information should be used to</w:t>
      </w:r>
      <w:r w:rsidR="007347E2" w:rsidRPr="009F3853">
        <w:rPr>
          <w:sz w:val="22"/>
          <w:szCs w:val="22"/>
        </w:rPr>
        <w:t xml:space="preserve"> fully</w:t>
      </w:r>
      <w:r w:rsidR="005749B6" w:rsidRPr="009F3853">
        <w:rPr>
          <w:sz w:val="22"/>
          <w:szCs w:val="22"/>
        </w:rPr>
        <w:t xml:space="preserve"> assess the effectiveness </w:t>
      </w:r>
      <w:r w:rsidR="00C020A7" w:rsidRPr="009F3853">
        <w:rPr>
          <w:sz w:val="22"/>
          <w:szCs w:val="22"/>
        </w:rPr>
        <w:t xml:space="preserve">of the current scheme, </w:t>
      </w:r>
      <w:r w:rsidR="00F47C3C" w:rsidRPr="009F3853">
        <w:rPr>
          <w:sz w:val="22"/>
          <w:szCs w:val="22"/>
        </w:rPr>
        <w:t xml:space="preserve">establish </w:t>
      </w:r>
      <w:r w:rsidR="00C020A7" w:rsidRPr="009F3853">
        <w:rPr>
          <w:sz w:val="22"/>
          <w:szCs w:val="22"/>
        </w:rPr>
        <w:t xml:space="preserve">which groups are currently underserved by the </w:t>
      </w:r>
      <w:r w:rsidR="00F47C3C" w:rsidRPr="009F3853">
        <w:rPr>
          <w:sz w:val="22"/>
          <w:szCs w:val="22"/>
        </w:rPr>
        <w:t xml:space="preserve">system, and identify </w:t>
      </w:r>
      <w:r w:rsidR="00F44DC4" w:rsidRPr="009F3853">
        <w:rPr>
          <w:sz w:val="22"/>
          <w:szCs w:val="22"/>
        </w:rPr>
        <w:t xml:space="preserve">aspects </w:t>
      </w:r>
      <w:r w:rsidR="00480C54" w:rsidRPr="009F3853">
        <w:rPr>
          <w:sz w:val="22"/>
          <w:szCs w:val="22"/>
        </w:rPr>
        <w:t xml:space="preserve">that </w:t>
      </w:r>
      <w:r w:rsidR="00F44DC4" w:rsidRPr="009F3853">
        <w:rPr>
          <w:sz w:val="22"/>
          <w:szCs w:val="22"/>
        </w:rPr>
        <w:t>can be improved</w:t>
      </w:r>
      <w:r w:rsidR="00131D2C" w:rsidRPr="009F3853">
        <w:rPr>
          <w:sz w:val="22"/>
          <w:szCs w:val="22"/>
        </w:rPr>
        <w:t xml:space="preserve"> moving forward. </w:t>
      </w:r>
      <w:r w:rsidR="00F44DC4" w:rsidRPr="009F3853">
        <w:rPr>
          <w:sz w:val="22"/>
          <w:szCs w:val="22"/>
        </w:rPr>
        <w:t xml:space="preserve"> </w:t>
      </w:r>
    </w:p>
    <w:p w14:paraId="05D512A3" w14:textId="77777777" w:rsidR="00131D2C" w:rsidRPr="009F3853" w:rsidRDefault="00131D2C" w:rsidP="00CC51DA">
      <w:pPr>
        <w:pStyle w:val="Default"/>
        <w:rPr>
          <w:sz w:val="22"/>
          <w:szCs w:val="22"/>
        </w:rPr>
      </w:pPr>
    </w:p>
    <w:p w14:paraId="483806D8" w14:textId="3D39BDA8" w:rsidR="00C774CA" w:rsidRPr="009F3853" w:rsidRDefault="00635D3D" w:rsidP="00CC51DA">
      <w:pPr>
        <w:pStyle w:val="Default"/>
        <w:rPr>
          <w:b/>
          <w:bCs/>
          <w:sz w:val="22"/>
          <w:szCs w:val="22"/>
        </w:rPr>
      </w:pPr>
      <w:r w:rsidRPr="009F3853">
        <w:rPr>
          <w:b/>
          <w:bCs/>
          <w:sz w:val="22"/>
          <w:szCs w:val="22"/>
        </w:rPr>
        <w:t>Context</w:t>
      </w:r>
    </w:p>
    <w:p w14:paraId="6A6DBF38" w14:textId="31625BAB" w:rsidR="00622701" w:rsidRPr="009F3853" w:rsidRDefault="00622701" w:rsidP="00CC51DA">
      <w:pPr>
        <w:pStyle w:val="ListParagraph"/>
        <w:numPr>
          <w:ilvl w:val="0"/>
          <w:numId w:val="8"/>
        </w:numPr>
        <w:suppressAutoHyphens/>
        <w:autoSpaceDN w:val="0"/>
        <w:spacing w:after="0" w:line="240" w:lineRule="auto"/>
        <w:contextualSpacing w:val="0"/>
        <w:textAlignment w:val="baseline"/>
        <w:rPr>
          <w:rFonts w:ascii="Arial" w:hAnsi="Arial" w:cs="Arial"/>
          <w:color w:val="000000"/>
        </w:rPr>
      </w:pPr>
      <w:r w:rsidRPr="009F3853">
        <w:rPr>
          <w:rFonts w:ascii="Arial" w:hAnsi="Arial" w:cs="Arial"/>
          <w:color w:val="000000"/>
        </w:rPr>
        <w:t xml:space="preserve">Our Working it Out survey (2018) highlighted some key areas where the current Access to Work scheme </w:t>
      </w:r>
      <w:r w:rsidR="004D36E6" w:rsidRPr="009F3853">
        <w:rPr>
          <w:rFonts w:ascii="Arial" w:hAnsi="Arial" w:cs="Arial"/>
          <w:color w:val="000000"/>
        </w:rPr>
        <w:t>can be improved upon</w:t>
      </w:r>
      <w:r w:rsidR="00C774CA" w:rsidRPr="009F3853">
        <w:rPr>
          <w:rFonts w:ascii="Arial" w:hAnsi="Arial" w:cs="Arial"/>
          <w:color w:val="000000"/>
        </w:rPr>
        <w:t>:</w:t>
      </w:r>
      <w:bookmarkStart w:id="5" w:name="_Ref80110977"/>
      <w:r w:rsidR="00CC0491" w:rsidRPr="009F3853">
        <w:rPr>
          <w:rStyle w:val="EndnoteReference"/>
          <w:rFonts w:ascii="Arial" w:hAnsi="Arial" w:cs="Arial"/>
          <w:color w:val="000000"/>
        </w:rPr>
        <w:endnoteReference w:id="16"/>
      </w:r>
      <w:bookmarkEnd w:id="5"/>
    </w:p>
    <w:p w14:paraId="5C369470" w14:textId="311DB14A" w:rsidR="00622701" w:rsidRPr="009F3853" w:rsidRDefault="00622701" w:rsidP="00CC51DA">
      <w:pPr>
        <w:pStyle w:val="ListParagraph"/>
        <w:numPr>
          <w:ilvl w:val="1"/>
          <w:numId w:val="8"/>
        </w:numPr>
        <w:suppressAutoHyphens/>
        <w:autoSpaceDN w:val="0"/>
        <w:spacing w:after="0" w:line="240" w:lineRule="auto"/>
        <w:contextualSpacing w:val="0"/>
        <w:textAlignment w:val="baseline"/>
        <w:rPr>
          <w:rFonts w:ascii="Arial" w:hAnsi="Arial" w:cs="Arial"/>
          <w:color w:val="000000"/>
        </w:rPr>
      </w:pPr>
      <w:r w:rsidRPr="009F3853">
        <w:rPr>
          <w:rFonts w:ascii="Arial" w:hAnsi="Arial" w:cs="Arial"/>
          <w:b/>
          <w:bCs/>
          <w:color w:val="000000" w:themeColor="text1"/>
        </w:rPr>
        <w:t>Communication</w:t>
      </w:r>
      <w:r w:rsidRPr="009F3853">
        <w:rPr>
          <w:rFonts w:ascii="Arial" w:hAnsi="Arial" w:cs="Arial"/>
          <w:color w:val="000000" w:themeColor="text1"/>
        </w:rPr>
        <w:t>: One in four who had applied for the Access to Work support said they found it difficult to communicate with the scheme.</w:t>
      </w:r>
      <w:r w:rsidR="00FE0CD7" w:rsidRPr="009F3853">
        <w:rPr>
          <w:rFonts w:ascii="Arial" w:hAnsi="Arial" w:cs="Arial"/>
          <w:color w:val="000000" w:themeColor="text1"/>
        </w:rPr>
        <w:t xml:space="preserve"> Having more regular </w:t>
      </w:r>
      <w:r w:rsidR="00205816" w:rsidRPr="009F3853">
        <w:rPr>
          <w:rFonts w:ascii="Arial" w:hAnsi="Arial" w:cs="Arial"/>
          <w:color w:val="000000" w:themeColor="text1"/>
        </w:rPr>
        <w:t>contact</w:t>
      </w:r>
      <w:r w:rsidR="0097425A" w:rsidRPr="009F3853">
        <w:rPr>
          <w:rFonts w:ascii="Arial" w:hAnsi="Arial" w:cs="Arial"/>
          <w:color w:val="000000" w:themeColor="text1"/>
        </w:rPr>
        <w:t xml:space="preserve"> with the scheme</w:t>
      </w:r>
      <w:r w:rsidR="00205816" w:rsidRPr="009F3853">
        <w:rPr>
          <w:rFonts w:ascii="Arial" w:hAnsi="Arial" w:cs="Arial"/>
          <w:color w:val="000000" w:themeColor="text1"/>
        </w:rPr>
        <w:t xml:space="preserve">, for example through a </w:t>
      </w:r>
      <w:r w:rsidR="00F36F00" w:rsidRPr="009F3853">
        <w:rPr>
          <w:rFonts w:ascii="Arial" w:hAnsi="Arial" w:cs="Arial"/>
          <w:color w:val="000000" w:themeColor="text1"/>
        </w:rPr>
        <w:t>local named Access to Work advisor</w:t>
      </w:r>
      <w:r w:rsidR="0077558C" w:rsidRPr="009F3853">
        <w:rPr>
          <w:rFonts w:ascii="Arial" w:hAnsi="Arial" w:cs="Arial"/>
          <w:color w:val="000000" w:themeColor="text1"/>
        </w:rPr>
        <w:t>, could help address this issue.</w:t>
      </w:r>
    </w:p>
    <w:p w14:paraId="34E97F8E" w14:textId="35185F90" w:rsidR="00622701" w:rsidRPr="009F3853" w:rsidRDefault="00622701" w:rsidP="00CC51DA">
      <w:pPr>
        <w:pStyle w:val="ListParagraph"/>
        <w:numPr>
          <w:ilvl w:val="1"/>
          <w:numId w:val="8"/>
        </w:numPr>
        <w:suppressAutoHyphens/>
        <w:autoSpaceDN w:val="0"/>
        <w:spacing w:after="0" w:line="240" w:lineRule="auto"/>
        <w:contextualSpacing w:val="0"/>
        <w:textAlignment w:val="baseline"/>
        <w:rPr>
          <w:rFonts w:ascii="Arial" w:hAnsi="Arial" w:cs="Arial"/>
          <w:color w:val="000000"/>
        </w:rPr>
      </w:pPr>
      <w:r w:rsidRPr="009F3853">
        <w:rPr>
          <w:rFonts w:ascii="Arial" w:hAnsi="Arial" w:cs="Arial"/>
          <w:b/>
          <w:bCs/>
          <w:color w:val="000000" w:themeColor="text1"/>
        </w:rPr>
        <w:t>Equipment</w:t>
      </w:r>
      <w:r w:rsidRPr="009F3853">
        <w:rPr>
          <w:rFonts w:ascii="Arial" w:hAnsi="Arial" w:cs="Arial"/>
          <w:color w:val="000000" w:themeColor="text1"/>
        </w:rPr>
        <w:t>: 4 in 5 said equipment had been provided to assist with their working lives, but one in five who needed their equipment upgrad</w:t>
      </w:r>
      <w:r w:rsidR="5EEA9E8A" w:rsidRPr="009F3853">
        <w:rPr>
          <w:rFonts w:ascii="Arial" w:hAnsi="Arial" w:cs="Arial"/>
          <w:color w:val="000000" w:themeColor="text1"/>
        </w:rPr>
        <w:t>ed</w:t>
      </w:r>
      <w:r w:rsidRPr="009F3853">
        <w:rPr>
          <w:rFonts w:ascii="Arial" w:hAnsi="Arial" w:cs="Arial"/>
          <w:color w:val="000000" w:themeColor="text1"/>
        </w:rPr>
        <w:t xml:space="preserve"> or repair</w:t>
      </w:r>
      <w:r w:rsidR="02A98984" w:rsidRPr="009F3853">
        <w:rPr>
          <w:rFonts w:ascii="Arial" w:hAnsi="Arial" w:cs="Arial"/>
          <w:color w:val="000000" w:themeColor="text1"/>
        </w:rPr>
        <w:t>ed</w:t>
      </w:r>
      <w:r w:rsidRPr="009F3853">
        <w:rPr>
          <w:rFonts w:ascii="Arial" w:hAnsi="Arial" w:cs="Arial"/>
          <w:color w:val="000000" w:themeColor="text1"/>
        </w:rPr>
        <w:t xml:space="preserve"> said they found this difficult or very difficult to do.</w:t>
      </w:r>
    </w:p>
    <w:p w14:paraId="7CCF2F84" w14:textId="2A5986FE" w:rsidR="00622701" w:rsidRPr="009F3853" w:rsidRDefault="00622701" w:rsidP="00CC51DA">
      <w:pPr>
        <w:pStyle w:val="ListParagraph"/>
        <w:numPr>
          <w:ilvl w:val="1"/>
          <w:numId w:val="8"/>
        </w:numPr>
        <w:suppressAutoHyphens/>
        <w:autoSpaceDN w:val="0"/>
        <w:spacing w:after="0" w:line="240" w:lineRule="auto"/>
        <w:contextualSpacing w:val="0"/>
        <w:textAlignment w:val="baseline"/>
        <w:rPr>
          <w:rFonts w:ascii="Arial" w:hAnsi="Arial" w:cs="Arial"/>
          <w:color w:val="000000"/>
        </w:rPr>
      </w:pPr>
      <w:r w:rsidRPr="009F3853">
        <w:rPr>
          <w:rFonts w:ascii="Arial" w:hAnsi="Arial" w:cs="Arial"/>
          <w:b/>
          <w:bCs/>
          <w:color w:val="000000" w:themeColor="text1"/>
        </w:rPr>
        <w:t>Travel</w:t>
      </w:r>
      <w:r w:rsidRPr="009F3853">
        <w:rPr>
          <w:rFonts w:ascii="Arial" w:hAnsi="Arial" w:cs="Arial"/>
          <w:color w:val="000000" w:themeColor="text1"/>
        </w:rPr>
        <w:t xml:space="preserve">: Almost half said they found it harder to travel to and from work due to their arthritis, and more than 1 in 3 said they found it harder to travel as part of their </w:t>
      </w:r>
      <w:r w:rsidR="003F05B0" w:rsidRPr="009F3853">
        <w:rPr>
          <w:rFonts w:ascii="Arial" w:hAnsi="Arial" w:cs="Arial"/>
          <w:color w:val="000000" w:themeColor="text1"/>
        </w:rPr>
        <w:t xml:space="preserve">job </w:t>
      </w:r>
      <w:r w:rsidRPr="009F3853">
        <w:rPr>
          <w:rFonts w:ascii="Arial" w:hAnsi="Arial" w:cs="Arial"/>
          <w:color w:val="000000" w:themeColor="text1"/>
        </w:rPr>
        <w:t xml:space="preserve">role. A third of those who received travel support through the Access to Work scheme said they found it difficult or very difficult arranging their travel. </w:t>
      </w:r>
    </w:p>
    <w:p w14:paraId="335EDF5A" w14:textId="77777777" w:rsidR="00622701" w:rsidRPr="009F3853" w:rsidRDefault="00622701" w:rsidP="00CC51DA">
      <w:pPr>
        <w:pStyle w:val="ListParagraph"/>
        <w:numPr>
          <w:ilvl w:val="1"/>
          <w:numId w:val="8"/>
        </w:numPr>
        <w:suppressAutoHyphens/>
        <w:autoSpaceDN w:val="0"/>
        <w:spacing w:after="0" w:line="240" w:lineRule="auto"/>
        <w:contextualSpacing w:val="0"/>
        <w:textAlignment w:val="baseline"/>
        <w:rPr>
          <w:rFonts w:ascii="Arial" w:hAnsi="Arial" w:cs="Arial"/>
          <w:color w:val="000000"/>
        </w:rPr>
      </w:pPr>
      <w:r w:rsidRPr="009F3853">
        <w:rPr>
          <w:rFonts w:ascii="Arial" w:hAnsi="Arial" w:cs="Arial"/>
          <w:b/>
          <w:bCs/>
          <w:color w:val="000000" w:themeColor="text1"/>
        </w:rPr>
        <w:t>Reviews</w:t>
      </w:r>
      <w:r w:rsidRPr="009F3853">
        <w:rPr>
          <w:rFonts w:ascii="Arial" w:hAnsi="Arial" w:cs="Arial"/>
          <w:color w:val="000000" w:themeColor="text1"/>
        </w:rPr>
        <w:t xml:space="preserve">: The current review process does not adequately meet the fluctuating and evolving needs of a person with arthritis. Three quarters of people supported by Access to Work told us they did not know they would be reviewed every three years. </w:t>
      </w:r>
    </w:p>
    <w:p w14:paraId="74E3FCDD" w14:textId="77777777" w:rsidR="00635D3D" w:rsidRPr="009F3853" w:rsidRDefault="00635D3D" w:rsidP="00CC51DA">
      <w:pPr>
        <w:pStyle w:val="Default"/>
        <w:rPr>
          <w:b/>
          <w:bCs/>
          <w:sz w:val="22"/>
          <w:szCs w:val="22"/>
        </w:rPr>
      </w:pPr>
    </w:p>
    <w:p w14:paraId="24BD7AAD" w14:textId="478FB2E7" w:rsidR="00635D3D" w:rsidRPr="009F3853" w:rsidRDefault="002D39DD" w:rsidP="00CC51DA">
      <w:pPr>
        <w:pStyle w:val="Default"/>
        <w:rPr>
          <w:b/>
          <w:bCs/>
          <w:sz w:val="22"/>
          <w:szCs w:val="22"/>
        </w:rPr>
      </w:pPr>
      <w:r w:rsidRPr="009F3853">
        <w:rPr>
          <w:b/>
          <w:bCs/>
          <w:sz w:val="22"/>
          <w:szCs w:val="22"/>
        </w:rPr>
        <w:t xml:space="preserve">Recommendation </w:t>
      </w:r>
    </w:p>
    <w:p w14:paraId="5653945E" w14:textId="09A7BDB9" w:rsidR="00CF34C9" w:rsidRPr="009F3853" w:rsidRDefault="00307A35" w:rsidP="00CC51DA">
      <w:pPr>
        <w:pStyle w:val="Default"/>
        <w:rPr>
          <w:b/>
          <w:bCs/>
          <w:sz w:val="22"/>
          <w:szCs w:val="22"/>
        </w:rPr>
      </w:pPr>
      <w:r w:rsidRPr="009F3853">
        <w:rPr>
          <w:sz w:val="22"/>
          <w:szCs w:val="22"/>
        </w:rPr>
        <w:t>Additional p</w:t>
      </w:r>
      <w:r w:rsidR="00CF34C9" w:rsidRPr="009F3853">
        <w:rPr>
          <w:sz w:val="22"/>
          <w:szCs w:val="22"/>
        </w:rPr>
        <w:t>romotion of the Access to Work scheme was</w:t>
      </w:r>
      <w:r w:rsidR="00E578E7" w:rsidRPr="009F3853">
        <w:rPr>
          <w:sz w:val="22"/>
          <w:szCs w:val="22"/>
        </w:rPr>
        <w:t xml:space="preserve"> confirmed </w:t>
      </w:r>
      <w:r w:rsidR="00CF34C9" w:rsidRPr="009F3853">
        <w:rPr>
          <w:sz w:val="22"/>
          <w:szCs w:val="22"/>
        </w:rPr>
        <w:t>by</w:t>
      </w:r>
      <w:r w:rsidR="00E578E7" w:rsidRPr="009F3853">
        <w:rPr>
          <w:sz w:val="22"/>
          <w:szCs w:val="22"/>
        </w:rPr>
        <w:t xml:space="preserve"> the</w:t>
      </w:r>
      <w:r w:rsidR="00CF34C9" w:rsidRPr="009F3853">
        <w:rPr>
          <w:sz w:val="22"/>
          <w:szCs w:val="22"/>
        </w:rPr>
        <w:t xml:space="preserve"> </w:t>
      </w:r>
      <w:r w:rsidR="005749B6" w:rsidRPr="009F3853">
        <w:rPr>
          <w:sz w:val="22"/>
          <w:szCs w:val="22"/>
        </w:rPr>
        <w:t xml:space="preserve">DWP </w:t>
      </w:r>
      <w:r w:rsidR="002A3663" w:rsidRPr="009F3853">
        <w:rPr>
          <w:sz w:val="22"/>
          <w:szCs w:val="22"/>
        </w:rPr>
        <w:t xml:space="preserve">to be carried out in </w:t>
      </w:r>
      <w:r w:rsidR="00CF34C9" w:rsidRPr="009F3853">
        <w:rPr>
          <w:sz w:val="22"/>
          <w:szCs w:val="22"/>
        </w:rPr>
        <w:t>January 2021</w:t>
      </w:r>
      <w:r w:rsidR="005E08C9" w:rsidRPr="009F3853">
        <w:rPr>
          <w:sz w:val="22"/>
          <w:szCs w:val="22"/>
        </w:rPr>
        <w:t>, and</w:t>
      </w:r>
      <w:r w:rsidR="002A3663" w:rsidRPr="009F3853">
        <w:rPr>
          <w:sz w:val="22"/>
          <w:szCs w:val="22"/>
        </w:rPr>
        <w:t xml:space="preserve"> DWP</w:t>
      </w:r>
      <w:r w:rsidR="005E08C9" w:rsidRPr="009F3853">
        <w:rPr>
          <w:sz w:val="22"/>
          <w:szCs w:val="22"/>
        </w:rPr>
        <w:t xml:space="preserve"> recommitted to</w:t>
      </w:r>
      <w:r w:rsidR="002A3663" w:rsidRPr="009F3853">
        <w:rPr>
          <w:sz w:val="22"/>
          <w:szCs w:val="22"/>
        </w:rPr>
        <w:t xml:space="preserve"> </w:t>
      </w:r>
      <w:r w:rsidR="005A6524" w:rsidRPr="009F3853">
        <w:rPr>
          <w:sz w:val="22"/>
          <w:szCs w:val="22"/>
        </w:rPr>
        <w:t>improving awareness of the scheme</w:t>
      </w:r>
      <w:r w:rsidR="005E08C9" w:rsidRPr="009F3853">
        <w:rPr>
          <w:sz w:val="22"/>
          <w:szCs w:val="22"/>
        </w:rPr>
        <w:t xml:space="preserve"> as part of the National Disability Strategy </w:t>
      </w:r>
      <w:r w:rsidR="00765BB9" w:rsidRPr="009F3853">
        <w:rPr>
          <w:sz w:val="22"/>
          <w:szCs w:val="22"/>
        </w:rPr>
        <w:t>in July 2021</w:t>
      </w:r>
      <w:r w:rsidR="00CF34C9" w:rsidRPr="009F3853">
        <w:rPr>
          <w:sz w:val="22"/>
          <w:szCs w:val="22"/>
        </w:rPr>
        <w:t>.</w:t>
      </w:r>
      <w:r w:rsidR="003C47C2" w:rsidRPr="009F3853">
        <w:rPr>
          <w:rStyle w:val="EndnoteReference"/>
          <w:sz w:val="22"/>
          <w:szCs w:val="22"/>
        </w:rPr>
        <w:endnoteReference w:id="17"/>
      </w:r>
      <w:r w:rsidR="00E578E7" w:rsidRPr="009F3853">
        <w:rPr>
          <w:sz w:val="22"/>
          <w:szCs w:val="22"/>
        </w:rPr>
        <w:t xml:space="preserve"> DWP should </w:t>
      </w:r>
      <w:r w:rsidR="000F2BDC" w:rsidRPr="009F3853">
        <w:rPr>
          <w:sz w:val="22"/>
          <w:szCs w:val="22"/>
        </w:rPr>
        <w:t>commit to carrying out</w:t>
      </w:r>
      <w:r w:rsidR="00CF34C9" w:rsidRPr="009F3853">
        <w:rPr>
          <w:sz w:val="22"/>
          <w:szCs w:val="22"/>
        </w:rPr>
        <w:t xml:space="preserve"> specific, ongoing promotion of Access to Work </w:t>
      </w:r>
      <w:r w:rsidR="00465063" w:rsidRPr="009F3853">
        <w:rPr>
          <w:sz w:val="22"/>
          <w:szCs w:val="22"/>
        </w:rPr>
        <w:t xml:space="preserve">targeted </w:t>
      </w:r>
      <w:r w:rsidR="00CF34C9" w:rsidRPr="009F3853">
        <w:rPr>
          <w:sz w:val="22"/>
          <w:szCs w:val="22"/>
        </w:rPr>
        <w:t>to reach more people with musculoskeletal conditions and their employers</w:t>
      </w:r>
      <w:r w:rsidR="00D05923" w:rsidRPr="009F3853">
        <w:rPr>
          <w:sz w:val="22"/>
          <w:szCs w:val="22"/>
        </w:rPr>
        <w:t>. They should also confirm</w:t>
      </w:r>
      <w:r w:rsidR="00CF34C9" w:rsidRPr="009F3853">
        <w:rPr>
          <w:sz w:val="22"/>
          <w:szCs w:val="22"/>
        </w:rPr>
        <w:t xml:space="preserve"> the </w:t>
      </w:r>
      <w:r w:rsidR="00465063" w:rsidRPr="009F3853">
        <w:rPr>
          <w:sz w:val="22"/>
          <w:szCs w:val="22"/>
        </w:rPr>
        <w:t>previous and planned</w:t>
      </w:r>
      <w:r w:rsidR="00BB0637" w:rsidRPr="009F3853">
        <w:rPr>
          <w:sz w:val="22"/>
          <w:szCs w:val="22"/>
        </w:rPr>
        <w:t xml:space="preserve"> upcoming</w:t>
      </w:r>
      <w:r w:rsidR="00CF34C9" w:rsidRPr="009F3853">
        <w:rPr>
          <w:sz w:val="22"/>
          <w:szCs w:val="22"/>
        </w:rPr>
        <w:t xml:space="preserve"> level of spend</w:t>
      </w:r>
      <w:r w:rsidR="00F63099" w:rsidRPr="009F3853">
        <w:rPr>
          <w:sz w:val="22"/>
          <w:szCs w:val="22"/>
        </w:rPr>
        <w:t xml:space="preserve"> on </w:t>
      </w:r>
      <w:r w:rsidR="00AC73BD" w:rsidRPr="009F3853">
        <w:rPr>
          <w:sz w:val="22"/>
          <w:szCs w:val="22"/>
        </w:rPr>
        <w:t xml:space="preserve">awareness raising </w:t>
      </w:r>
      <w:r w:rsidR="00465063" w:rsidRPr="009F3853">
        <w:rPr>
          <w:sz w:val="22"/>
          <w:szCs w:val="22"/>
        </w:rPr>
        <w:t>efforts</w:t>
      </w:r>
      <w:r w:rsidR="00AC73BD" w:rsidRPr="009F3853">
        <w:rPr>
          <w:sz w:val="22"/>
          <w:szCs w:val="22"/>
        </w:rPr>
        <w:t>,</w:t>
      </w:r>
      <w:r w:rsidR="00CF34C9" w:rsidRPr="009F3853">
        <w:rPr>
          <w:sz w:val="22"/>
          <w:szCs w:val="22"/>
        </w:rPr>
        <w:t xml:space="preserve"> and </w:t>
      </w:r>
      <w:r w:rsidR="00AC73BD" w:rsidRPr="009F3853">
        <w:rPr>
          <w:sz w:val="22"/>
          <w:szCs w:val="22"/>
        </w:rPr>
        <w:t xml:space="preserve">provide </w:t>
      </w:r>
      <w:r w:rsidR="008C2490" w:rsidRPr="009F3853">
        <w:rPr>
          <w:sz w:val="22"/>
          <w:szCs w:val="22"/>
        </w:rPr>
        <w:t>specific</w:t>
      </w:r>
      <w:r w:rsidR="00AC73BD" w:rsidRPr="009F3853">
        <w:rPr>
          <w:sz w:val="22"/>
          <w:szCs w:val="22"/>
        </w:rPr>
        <w:t xml:space="preserve"> </w:t>
      </w:r>
      <w:r w:rsidR="008C2490" w:rsidRPr="009F3853">
        <w:rPr>
          <w:sz w:val="22"/>
          <w:szCs w:val="22"/>
        </w:rPr>
        <w:t xml:space="preserve">detail on </w:t>
      </w:r>
      <w:r w:rsidR="00CF34C9" w:rsidRPr="009F3853">
        <w:rPr>
          <w:sz w:val="22"/>
          <w:szCs w:val="22"/>
        </w:rPr>
        <w:t>ho</w:t>
      </w:r>
      <w:r w:rsidR="00F63099" w:rsidRPr="009F3853">
        <w:rPr>
          <w:sz w:val="22"/>
          <w:szCs w:val="22"/>
        </w:rPr>
        <w:t>w the success of the</w:t>
      </w:r>
      <w:r w:rsidR="008C2490" w:rsidRPr="009F3853">
        <w:rPr>
          <w:sz w:val="22"/>
          <w:szCs w:val="22"/>
        </w:rPr>
        <w:t>se</w:t>
      </w:r>
      <w:r w:rsidR="00F63099" w:rsidRPr="009F3853">
        <w:rPr>
          <w:sz w:val="22"/>
          <w:szCs w:val="22"/>
        </w:rPr>
        <w:t xml:space="preserve"> campaign</w:t>
      </w:r>
      <w:r w:rsidR="008C2490" w:rsidRPr="009F3853">
        <w:rPr>
          <w:sz w:val="22"/>
          <w:szCs w:val="22"/>
        </w:rPr>
        <w:t>s</w:t>
      </w:r>
      <w:r w:rsidR="00F63099" w:rsidRPr="009F3853">
        <w:rPr>
          <w:sz w:val="22"/>
          <w:szCs w:val="22"/>
        </w:rPr>
        <w:t xml:space="preserve"> </w:t>
      </w:r>
      <w:r w:rsidR="00CF34C9" w:rsidRPr="009F3853">
        <w:rPr>
          <w:sz w:val="22"/>
          <w:szCs w:val="22"/>
        </w:rPr>
        <w:t>will be assessed.</w:t>
      </w:r>
    </w:p>
    <w:p w14:paraId="0F60F761" w14:textId="77777777" w:rsidR="00016D18" w:rsidRPr="009F3853" w:rsidRDefault="00016D18" w:rsidP="00CC51DA">
      <w:pPr>
        <w:pStyle w:val="Default"/>
        <w:rPr>
          <w:b/>
          <w:bCs/>
          <w:sz w:val="22"/>
          <w:szCs w:val="22"/>
        </w:rPr>
      </w:pPr>
    </w:p>
    <w:p w14:paraId="77B4DB9A" w14:textId="354972E2" w:rsidR="00635D3D" w:rsidRPr="009F3853" w:rsidRDefault="002D39DD" w:rsidP="00CC51DA">
      <w:pPr>
        <w:pStyle w:val="Default"/>
        <w:rPr>
          <w:b/>
          <w:bCs/>
          <w:sz w:val="22"/>
          <w:szCs w:val="22"/>
        </w:rPr>
      </w:pPr>
      <w:r w:rsidRPr="009F3853">
        <w:rPr>
          <w:b/>
          <w:bCs/>
          <w:sz w:val="22"/>
          <w:szCs w:val="22"/>
        </w:rPr>
        <w:t>Context</w:t>
      </w:r>
    </w:p>
    <w:p w14:paraId="3BC7B604" w14:textId="2E781CF4" w:rsidR="00E7488B" w:rsidRPr="009F3853" w:rsidRDefault="00635D3D" w:rsidP="00CC51DA">
      <w:pPr>
        <w:pStyle w:val="ListParagraph"/>
        <w:numPr>
          <w:ilvl w:val="0"/>
          <w:numId w:val="8"/>
        </w:numPr>
        <w:spacing w:after="0"/>
        <w:contextualSpacing w:val="0"/>
        <w:rPr>
          <w:rFonts w:ascii="Arial" w:hAnsi="Arial" w:cs="Arial"/>
          <w:color w:val="000000"/>
        </w:rPr>
      </w:pPr>
      <w:r w:rsidRPr="009F3853">
        <w:rPr>
          <w:rFonts w:ascii="Arial" w:hAnsi="Arial" w:cs="Arial"/>
          <w:color w:val="000000"/>
        </w:rPr>
        <w:t>Despite being the leading cause of disability in the workforce, only 11.9% of the total Access to Work spend for 2017/2018 was allocated to support people with musculoskeletal conditions.</w:t>
      </w:r>
      <w:r w:rsidR="00934776" w:rsidRPr="009F3853">
        <w:rPr>
          <w:rStyle w:val="EndnoteReference"/>
          <w:rFonts w:ascii="Arial" w:hAnsi="Arial" w:cs="Arial"/>
          <w:color w:val="000000"/>
        </w:rPr>
        <w:endnoteReference w:id="18"/>
      </w:r>
    </w:p>
    <w:p w14:paraId="513FF888" w14:textId="1BF2B3E4" w:rsidR="00FE3FEE" w:rsidRPr="009F3853" w:rsidRDefault="00FE3FEE" w:rsidP="00CC51DA">
      <w:pPr>
        <w:pStyle w:val="ListParagraph"/>
        <w:numPr>
          <w:ilvl w:val="0"/>
          <w:numId w:val="8"/>
        </w:numPr>
        <w:spacing w:after="0"/>
        <w:contextualSpacing w:val="0"/>
        <w:rPr>
          <w:rFonts w:ascii="Arial" w:hAnsi="Arial" w:cs="Arial"/>
          <w:color w:val="000000"/>
        </w:rPr>
      </w:pPr>
      <w:r w:rsidRPr="009F3853">
        <w:rPr>
          <w:rFonts w:ascii="Arial" w:hAnsi="Arial" w:cs="Arial"/>
          <w:color w:val="000000"/>
        </w:rPr>
        <w:t>Our Working it Out survey (2018) provided some insights into the experience of applying for support from the Access to Work scheme</w:t>
      </w:r>
      <w:r w:rsidR="00FD1517" w:rsidRPr="009F3853">
        <w:rPr>
          <w:rFonts w:ascii="Arial" w:hAnsi="Arial" w:cs="Arial"/>
          <w:color w:val="000000"/>
        </w:rPr>
        <w:t xml:space="preserve">, and </w:t>
      </w:r>
      <w:r w:rsidR="00635D3D" w:rsidRPr="009F3853">
        <w:rPr>
          <w:rFonts w:ascii="Arial" w:hAnsi="Arial" w:cs="Arial"/>
          <w:color w:val="000000"/>
        </w:rPr>
        <w:t xml:space="preserve">identified </w:t>
      </w:r>
      <w:r w:rsidR="00D31844" w:rsidRPr="009F3853">
        <w:rPr>
          <w:rFonts w:ascii="Arial" w:hAnsi="Arial" w:cs="Arial"/>
          <w:color w:val="000000"/>
        </w:rPr>
        <w:t xml:space="preserve">a </w:t>
      </w:r>
      <w:r w:rsidR="00635D3D" w:rsidRPr="009F3853">
        <w:rPr>
          <w:rFonts w:ascii="Arial" w:hAnsi="Arial" w:cs="Arial"/>
          <w:color w:val="000000"/>
        </w:rPr>
        <w:t>lack of awareness of the programme as a key issue;</w:t>
      </w:r>
      <w:r w:rsidRPr="009F3853">
        <w:rPr>
          <w:rFonts w:ascii="Arial" w:hAnsi="Arial" w:cs="Arial"/>
          <w:color w:val="000000"/>
        </w:rPr>
        <w:t xml:space="preserve"> 59% of respondents with </w:t>
      </w:r>
      <w:r w:rsidR="00A74405" w:rsidRPr="009F3853">
        <w:rPr>
          <w:rFonts w:ascii="Arial" w:hAnsi="Arial" w:cs="Arial"/>
          <w:color w:val="000000"/>
        </w:rPr>
        <w:t xml:space="preserve">musculoskeletal conditions </w:t>
      </w:r>
      <w:r w:rsidRPr="009F3853">
        <w:rPr>
          <w:rFonts w:ascii="Arial" w:hAnsi="Arial" w:cs="Arial"/>
          <w:color w:val="000000"/>
        </w:rPr>
        <w:t>had never heard of Access to Work</w:t>
      </w:r>
      <w:r w:rsidR="00A74405" w:rsidRPr="009F3853">
        <w:rPr>
          <w:rFonts w:ascii="Arial" w:hAnsi="Arial" w:cs="Arial"/>
          <w:color w:val="000000"/>
        </w:rPr>
        <w:t>,</w:t>
      </w:r>
      <w:r w:rsidR="00D94B1B" w:rsidRPr="009F3853">
        <w:rPr>
          <w:rFonts w:ascii="Arial" w:hAnsi="Arial" w:cs="Arial"/>
          <w:color w:val="000000"/>
        </w:rPr>
        <w:t xml:space="preserve"> and an additional 10% </w:t>
      </w:r>
      <w:r w:rsidR="0028466D" w:rsidRPr="009F3853">
        <w:rPr>
          <w:rFonts w:ascii="Arial" w:hAnsi="Arial" w:cs="Arial"/>
          <w:color w:val="000000"/>
        </w:rPr>
        <w:t xml:space="preserve">had </w:t>
      </w:r>
      <w:r w:rsidR="00D94B1B" w:rsidRPr="009F3853">
        <w:rPr>
          <w:rFonts w:ascii="Arial" w:hAnsi="Arial" w:cs="Arial"/>
          <w:color w:val="000000"/>
        </w:rPr>
        <w:t xml:space="preserve">heard of it but </w:t>
      </w:r>
      <w:r w:rsidR="00D31844" w:rsidRPr="009F3853">
        <w:rPr>
          <w:rFonts w:ascii="Arial" w:hAnsi="Arial" w:cs="Arial"/>
          <w:color w:val="000000"/>
        </w:rPr>
        <w:t xml:space="preserve">were </w:t>
      </w:r>
      <w:r w:rsidR="00D94B1B" w:rsidRPr="009F3853">
        <w:rPr>
          <w:rFonts w:ascii="Arial" w:hAnsi="Arial" w:cs="Arial"/>
          <w:color w:val="000000"/>
        </w:rPr>
        <w:t>not sure what it d</w:t>
      </w:r>
      <w:r w:rsidR="00A74405" w:rsidRPr="009F3853">
        <w:rPr>
          <w:rFonts w:ascii="Arial" w:hAnsi="Arial" w:cs="Arial"/>
          <w:color w:val="000000"/>
        </w:rPr>
        <w:t>id</w:t>
      </w:r>
      <w:r w:rsidR="00D94B1B" w:rsidRPr="009F3853">
        <w:rPr>
          <w:rFonts w:ascii="Arial" w:hAnsi="Arial" w:cs="Arial"/>
          <w:color w:val="000000"/>
        </w:rPr>
        <w:t>.</w:t>
      </w:r>
      <w:r w:rsidR="0014089E" w:rsidRPr="009F3853">
        <w:rPr>
          <w:rFonts w:ascii="Arial" w:hAnsi="Arial" w:cs="Arial"/>
          <w:color w:val="000000"/>
        </w:rPr>
        <w:fldChar w:fldCharType="begin"/>
      </w:r>
      <w:r w:rsidR="0014089E" w:rsidRPr="009F3853">
        <w:rPr>
          <w:rFonts w:ascii="Arial" w:hAnsi="Arial" w:cs="Arial"/>
          <w:color w:val="000000"/>
        </w:rPr>
        <w:instrText xml:space="preserve"> NOTEREF _Ref80110977 \f \h </w:instrText>
      </w:r>
      <w:r w:rsidR="00962030" w:rsidRPr="009F3853">
        <w:rPr>
          <w:rFonts w:ascii="Arial" w:hAnsi="Arial" w:cs="Arial"/>
          <w:color w:val="000000"/>
        </w:rPr>
        <w:instrText xml:space="preserve"> \* MERGEFORMAT </w:instrText>
      </w:r>
      <w:r w:rsidR="0014089E" w:rsidRPr="009F3853">
        <w:rPr>
          <w:rFonts w:ascii="Arial" w:hAnsi="Arial" w:cs="Arial"/>
          <w:color w:val="000000"/>
        </w:rPr>
      </w:r>
      <w:r w:rsidR="0014089E" w:rsidRPr="009F3853">
        <w:rPr>
          <w:rFonts w:ascii="Arial" w:hAnsi="Arial" w:cs="Arial"/>
          <w:color w:val="000000"/>
        </w:rPr>
        <w:fldChar w:fldCharType="separate"/>
      </w:r>
      <w:r w:rsidR="0026190E" w:rsidRPr="0026190E">
        <w:rPr>
          <w:rStyle w:val="EndnoteReference"/>
          <w:rFonts w:ascii="Arial" w:hAnsi="Arial" w:cs="Arial"/>
        </w:rPr>
        <w:t>15</w:t>
      </w:r>
      <w:r w:rsidR="0014089E" w:rsidRPr="009F3853">
        <w:rPr>
          <w:rFonts w:ascii="Arial" w:hAnsi="Arial" w:cs="Arial"/>
          <w:color w:val="000000"/>
        </w:rPr>
        <w:fldChar w:fldCharType="end"/>
      </w:r>
    </w:p>
    <w:p w14:paraId="73970073" w14:textId="6EE4F797" w:rsidR="00016D18" w:rsidRPr="009F3853" w:rsidRDefault="00E7488B" w:rsidP="00CC51DA">
      <w:pPr>
        <w:pStyle w:val="ListParagraph"/>
        <w:numPr>
          <w:ilvl w:val="0"/>
          <w:numId w:val="8"/>
        </w:numPr>
        <w:spacing w:after="0"/>
        <w:contextualSpacing w:val="0"/>
        <w:rPr>
          <w:rFonts w:ascii="Arial" w:hAnsi="Arial" w:cs="Arial"/>
          <w:color w:val="000000"/>
        </w:rPr>
      </w:pPr>
      <w:r w:rsidRPr="009F3853">
        <w:rPr>
          <w:rFonts w:ascii="Arial" w:hAnsi="Arial" w:cs="Arial"/>
          <w:color w:val="000000"/>
        </w:rPr>
        <w:t>This insight is supported by the Sayce Review</w:t>
      </w:r>
      <w:r w:rsidR="00FD519F" w:rsidRPr="009F3853">
        <w:rPr>
          <w:rFonts w:ascii="Arial" w:hAnsi="Arial" w:cs="Arial"/>
          <w:color w:val="000000"/>
        </w:rPr>
        <w:t>,</w:t>
      </w:r>
      <w:r w:rsidRPr="009F3853">
        <w:rPr>
          <w:rFonts w:ascii="Arial" w:hAnsi="Arial" w:cs="Arial"/>
          <w:color w:val="000000"/>
        </w:rPr>
        <w:t xml:space="preserve"> </w:t>
      </w:r>
      <w:r w:rsidR="0028466D" w:rsidRPr="009F3853">
        <w:rPr>
          <w:rFonts w:ascii="Arial" w:hAnsi="Arial" w:cs="Arial"/>
          <w:color w:val="000000"/>
        </w:rPr>
        <w:t xml:space="preserve">which found that </w:t>
      </w:r>
      <w:r w:rsidRPr="009F3853">
        <w:rPr>
          <w:rFonts w:ascii="Arial" w:hAnsi="Arial" w:cs="Arial"/>
          <w:color w:val="000000"/>
        </w:rPr>
        <w:t xml:space="preserve">awareness of the scheme particularly among smaller employers and </w:t>
      </w:r>
      <w:r w:rsidR="00FD519F" w:rsidRPr="009F3853">
        <w:rPr>
          <w:rFonts w:ascii="Arial" w:hAnsi="Arial" w:cs="Arial"/>
          <w:color w:val="000000"/>
        </w:rPr>
        <w:t xml:space="preserve">certain </w:t>
      </w:r>
      <w:r w:rsidRPr="009F3853">
        <w:rPr>
          <w:rFonts w:ascii="Arial" w:hAnsi="Arial" w:cs="Arial"/>
          <w:color w:val="000000"/>
        </w:rPr>
        <w:t>groups of</w:t>
      </w:r>
      <w:r w:rsidR="0028466D" w:rsidRPr="009F3853">
        <w:rPr>
          <w:rFonts w:ascii="Arial" w:hAnsi="Arial" w:cs="Arial"/>
          <w:color w:val="000000"/>
        </w:rPr>
        <w:t xml:space="preserve"> </w:t>
      </w:r>
      <w:r w:rsidRPr="009F3853">
        <w:rPr>
          <w:rFonts w:ascii="Arial" w:hAnsi="Arial" w:cs="Arial"/>
          <w:color w:val="000000"/>
        </w:rPr>
        <w:t>disabled people</w:t>
      </w:r>
      <w:r w:rsidR="0028466D" w:rsidRPr="009F3853">
        <w:rPr>
          <w:rFonts w:ascii="Arial" w:hAnsi="Arial" w:cs="Arial"/>
          <w:color w:val="000000"/>
        </w:rPr>
        <w:t xml:space="preserve"> </w:t>
      </w:r>
      <w:r w:rsidR="00FD519F" w:rsidRPr="009F3853">
        <w:rPr>
          <w:rFonts w:ascii="Arial" w:hAnsi="Arial" w:cs="Arial"/>
          <w:color w:val="000000"/>
        </w:rPr>
        <w:t xml:space="preserve">meant that </w:t>
      </w:r>
      <w:r w:rsidRPr="009F3853">
        <w:rPr>
          <w:rFonts w:ascii="Arial" w:hAnsi="Arial" w:cs="Arial"/>
          <w:color w:val="000000"/>
        </w:rPr>
        <w:t>the scheme help</w:t>
      </w:r>
      <w:r w:rsidR="00FD519F" w:rsidRPr="009F3853">
        <w:rPr>
          <w:rFonts w:ascii="Arial" w:hAnsi="Arial" w:cs="Arial"/>
          <w:color w:val="000000"/>
        </w:rPr>
        <w:t>ed</w:t>
      </w:r>
      <w:r w:rsidRPr="009F3853">
        <w:rPr>
          <w:rFonts w:ascii="Arial" w:hAnsi="Arial" w:cs="Arial"/>
          <w:color w:val="000000"/>
        </w:rPr>
        <w:t xml:space="preserve"> far fewer people than</w:t>
      </w:r>
      <w:r w:rsidR="00FD519F" w:rsidRPr="009F3853">
        <w:rPr>
          <w:rFonts w:ascii="Arial" w:hAnsi="Arial" w:cs="Arial"/>
          <w:color w:val="000000"/>
        </w:rPr>
        <w:t xml:space="preserve"> the </w:t>
      </w:r>
      <w:r w:rsidR="00001FA9" w:rsidRPr="009F3853">
        <w:rPr>
          <w:rFonts w:ascii="Arial" w:hAnsi="Arial" w:cs="Arial"/>
          <w:color w:val="000000"/>
        </w:rPr>
        <w:t xml:space="preserve">total </w:t>
      </w:r>
      <w:r w:rsidR="00FD519F" w:rsidRPr="009F3853">
        <w:rPr>
          <w:rFonts w:ascii="Arial" w:hAnsi="Arial" w:cs="Arial"/>
          <w:color w:val="000000"/>
        </w:rPr>
        <w:t xml:space="preserve">number </w:t>
      </w:r>
      <w:r w:rsidR="00001FA9" w:rsidRPr="009F3853">
        <w:rPr>
          <w:rFonts w:ascii="Arial" w:hAnsi="Arial" w:cs="Arial"/>
          <w:color w:val="000000"/>
        </w:rPr>
        <w:t>who</w:t>
      </w:r>
      <w:r w:rsidR="0028466D" w:rsidRPr="009F3853">
        <w:rPr>
          <w:rFonts w:ascii="Arial" w:hAnsi="Arial" w:cs="Arial"/>
          <w:color w:val="000000"/>
        </w:rPr>
        <w:t xml:space="preserve"> </w:t>
      </w:r>
      <w:r w:rsidR="00622701" w:rsidRPr="009F3853">
        <w:rPr>
          <w:rFonts w:ascii="Arial" w:hAnsi="Arial" w:cs="Arial"/>
          <w:color w:val="000000"/>
        </w:rPr>
        <w:t>qualify for support.</w:t>
      </w:r>
      <w:r w:rsidR="00DE382D" w:rsidRPr="009F3853">
        <w:rPr>
          <w:rStyle w:val="EndnoteReference"/>
          <w:rFonts w:ascii="Arial" w:hAnsi="Arial" w:cs="Arial"/>
          <w:color w:val="000000"/>
        </w:rPr>
        <w:endnoteReference w:id="19"/>
      </w:r>
    </w:p>
    <w:p w14:paraId="48279A6F" w14:textId="77777777" w:rsidR="00131D2C" w:rsidRPr="009F3853" w:rsidRDefault="00131D2C" w:rsidP="00CC51DA">
      <w:pPr>
        <w:pStyle w:val="ListParagraph"/>
        <w:spacing w:after="0"/>
        <w:ind w:left="360"/>
        <w:contextualSpacing w:val="0"/>
        <w:rPr>
          <w:rFonts w:ascii="Arial" w:hAnsi="Arial" w:cs="Arial"/>
          <w:color w:val="000000"/>
        </w:rPr>
      </w:pPr>
    </w:p>
    <w:p w14:paraId="0ABC7E05" w14:textId="6ECF1DC9" w:rsidR="002D39DD" w:rsidRPr="009F3853" w:rsidRDefault="002D39DD" w:rsidP="00CC51DA">
      <w:pPr>
        <w:pStyle w:val="Default"/>
        <w:rPr>
          <w:b/>
          <w:bCs/>
          <w:sz w:val="22"/>
          <w:szCs w:val="22"/>
        </w:rPr>
      </w:pPr>
      <w:r w:rsidRPr="009F3853">
        <w:rPr>
          <w:b/>
          <w:bCs/>
          <w:sz w:val="22"/>
          <w:szCs w:val="22"/>
        </w:rPr>
        <w:t xml:space="preserve">Recommendation </w:t>
      </w:r>
    </w:p>
    <w:p w14:paraId="4529F46A" w14:textId="24D852DA" w:rsidR="00C83F8C" w:rsidRPr="009F3853" w:rsidRDefault="00C83F8C" w:rsidP="00CC51DA">
      <w:pPr>
        <w:pStyle w:val="Default"/>
        <w:rPr>
          <w:sz w:val="22"/>
          <w:szCs w:val="22"/>
        </w:rPr>
      </w:pPr>
      <w:r w:rsidRPr="009F3853">
        <w:rPr>
          <w:sz w:val="22"/>
          <w:szCs w:val="22"/>
        </w:rPr>
        <w:t xml:space="preserve">To prepare and support young people with musculoskeletal conditions moving into employment, the Department of Education and Department of Work </w:t>
      </w:r>
      <w:r w:rsidR="00F221D5" w:rsidRPr="009F3853">
        <w:rPr>
          <w:sz w:val="22"/>
          <w:szCs w:val="22"/>
        </w:rPr>
        <w:t>and Pensions</w:t>
      </w:r>
      <w:r w:rsidRPr="009F3853">
        <w:rPr>
          <w:sz w:val="22"/>
          <w:szCs w:val="22"/>
        </w:rPr>
        <w:t xml:space="preserve"> </w:t>
      </w:r>
      <w:r w:rsidR="00E75F7A" w:rsidRPr="009F3853">
        <w:rPr>
          <w:sz w:val="22"/>
          <w:szCs w:val="22"/>
        </w:rPr>
        <w:t xml:space="preserve">should work collaboratively </w:t>
      </w:r>
      <w:r w:rsidRPr="009F3853">
        <w:rPr>
          <w:sz w:val="22"/>
          <w:szCs w:val="22"/>
        </w:rPr>
        <w:t>to ensure young people with</w:t>
      </w:r>
      <w:r w:rsidR="00F221D5" w:rsidRPr="009F3853">
        <w:rPr>
          <w:sz w:val="22"/>
          <w:szCs w:val="22"/>
        </w:rPr>
        <w:t xml:space="preserve"> disabilities and</w:t>
      </w:r>
      <w:r w:rsidRPr="009F3853">
        <w:rPr>
          <w:sz w:val="22"/>
          <w:szCs w:val="22"/>
        </w:rPr>
        <w:t xml:space="preserve"> </w:t>
      </w:r>
      <w:r w:rsidR="00F221D5" w:rsidRPr="009F3853">
        <w:rPr>
          <w:sz w:val="22"/>
          <w:szCs w:val="22"/>
        </w:rPr>
        <w:t xml:space="preserve">health conditions </w:t>
      </w:r>
      <w:r w:rsidRPr="009F3853">
        <w:rPr>
          <w:sz w:val="22"/>
          <w:szCs w:val="22"/>
        </w:rPr>
        <w:t xml:space="preserve">are aware </w:t>
      </w:r>
      <w:r w:rsidRPr="009F3853">
        <w:rPr>
          <w:sz w:val="22"/>
          <w:szCs w:val="22"/>
        </w:rPr>
        <w:lastRenderedPageBreak/>
        <w:t>of the</w:t>
      </w:r>
      <w:r w:rsidR="00E75F7A" w:rsidRPr="009F3853">
        <w:rPr>
          <w:sz w:val="22"/>
          <w:szCs w:val="22"/>
        </w:rPr>
        <w:t xml:space="preserve"> full</w:t>
      </w:r>
      <w:r w:rsidRPr="009F3853">
        <w:rPr>
          <w:sz w:val="22"/>
          <w:szCs w:val="22"/>
        </w:rPr>
        <w:t xml:space="preserve"> range of support options available to them, including the Access to Work scheme. This information could be provided as part of the careers guidance that schools are legally required to provide to children from years 8 to</w:t>
      </w:r>
      <w:r w:rsidR="00E96A06" w:rsidRPr="009F3853">
        <w:rPr>
          <w:sz w:val="22"/>
          <w:szCs w:val="22"/>
        </w:rPr>
        <w:t xml:space="preserve"> 13.</w:t>
      </w:r>
    </w:p>
    <w:p w14:paraId="19EF4898" w14:textId="77777777" w:rsidR="0083049A" w:rsidRPr="009F3853" w:rsidRDefault="0083049A" w:rsidP="00CC51DA">
      <w:pPr>
        <w:pStyle w:val="Default"/>
        <w:rPr>
          <w:sz w:val="22"/>
          <w:szCs w:val="22"/>
        </w:rPr>
      </w:pPr>
    </w:p>
    <w:p w14:paraId="6DE2EE7B" w14:textId="4076D91F" w:rsidR="00B43847" w:rsidRPr="009F3853" w:rsidRDefault="002D39DD" w:rsidP="00CC51DA">
      <w:pPr>
        <w:pStyle w:val="Default"/>
        <w:rPr>
          <w:b/>
          <w:bCs/>
          <w:sz w:val="22"/>
          <w:szCs w:val="22"/>
        </w:rPr>
      </w:pPr>
      <w:r w:rsidRPr="009F3853">
        <w:rPr>
          <w:b/>
          <w:bCs/>
          <w:sz w:val="22"/>
          <w:szCs w:val="22"/>
        </w:rPr>
        <w:t>Context</w:t>
      </w:r>
    </w:p>
    <w:p w14:paraId="35E3D0F5" w14:textId="1E49E1AE" w:rsidR="00B43847" w:rsidRPr="009F3853" w:rsidRDefault="00B43847" w:rsidP="00CC51DA">
      <w:pPr>
        <w:pStyle w:val="Default"/>
        <w:numPr>
          <w:ilvl w:val="0"/>
          <w:numId w:val="1"/>
        </w:numPr>
        <w:rPr>
          <w:sz w:val="22"/>
          <w:szCs w:val="22"/>
        </w:rPr>
      </w:pPr>
      <w:r w:rsidRPr="009F3853">
        <w:rPr>
          <w:sz w:val="22"/>
          <w:szCs w:val="22"/>
        </w:rPr>
        <w:t>While the most common forms of musculoskeletal conditions are significantly more prevalent</w:t>
      </w:r>
      <w:r w:rsidR="00B75D06" w:rsidRPr="009F3853">
        <w:rPr>
          <w:sz w:val="22"/>
          <w:szCs w:val="22"/>
        </w:rPr>
        <w:t xml:space="preserve"> as people age</w:t>
      </w:r>
      <w:r w:rsidRPr="009F3853">
        <w:rPr>
          <w:sz w:val="22"/>
          <w:szCs w:val="22"/>
        </w:rPr>
        <w:t>,</w:t>
      </w:r>
      <w:r w:rsidR="00B75D06" w:rsidRPr="009F3853">
        <w:rPr>
          <w:sz w:val="22"/>
          <w:szCs w:val="22"/>
        </w:rPr>
        <w:t xml:space="preserve"> there are over </w:t>
      </w:r>
      <w:r w:rsidRPr="009F3853">
        <w:rPr>
          <w:sz w:val="22"/>
          <w:szCs w:val="22"/>
        </w:rPr>
        <w:t xml:space="preserve">12,000 children in the UK </w:t>
      </w:r>
      <w:r w:rsidR="00B75D06" w:rsidRPr="009F3853">
        <w:rPr>
          <w:sz w:val="22"/>
          <w:szCs w:val="22"/>
        </w:rPr>
        <w:t xml:space="preserve">who are living with </w:t>
      </w:r>
      <w:r w:rsidRPr="009F3853">
        <w:rPr>
          <w:sz w:val="22"/>
          <w:szCs w:val="22"/>
        </w:rPr>
        <w:t>a diagnosed musculoskeletal condition, and one in seven young people report having low back pain.</w:t>
      </w:r>
      <w:r w:rsidR="001E3FFA" w:rsidRPr="009F3853">
        <w:rPr>
          <w:sz w:val="22"/>
          <w:szCs w:val="22"/>
        </w:rPr>
        <w:fldChar w:fldCharType="begin"/>
      </w:r>
      <w:r w:rsidR="001E3FFA" w:rsidRPr="009F3853">
        <w:rPr>
          <w:sz w:val="22"/>
          <w:szCs w:val="22"/>
        </w:rPr>
        <w:instrText xml:space="preserve"> NOTEREF _Ref80108637 \f \h </w:instrText>
      </w:r>
      <w:r w:rsidR="009F3853" w:rsidRPr="009F3853">
        <w:rPr>
          <w:sz w:val="22"/>
          <w:szCs w:val="22"/>
        </w:rPr>
        <w:instrText xml:space="preserve"> \* MERGEFORMAT </w:instrText>
      </w:r>
      <w:r w:rsidR="001E3FFA" w:rsidRPr="009F3853">
        <w:rPr>
          <w:sz w:val="22"/>
          <w:szCs w:val="22"/>
        </w:rPr>
      </w:r>
      <w:r w:rsidR="001E3FFA" w:rsidRPr="009F3853">
        <w:rPr>
          <w:sz w:val="22"/>
          <w:szCs w:val="22"/>
        </w:rPr>
        <w:fldChar w:fldCharType="separate"/>
      </w:r>
      <w:r w:rsidR="0026190E" w:rsidRPr="0026190E">
        <w:rPr>
          <w:rStyle w:val="EndnoteReference"/>
          <w:sz w:val="22"/>
          <w:szCs w:val="22"/>
        </w:rPr>
        <w:t>3</w:t>
      </w:r>
      <w:r w:rsidR="001E3FFA" w:rsidRPr="009F3853">
        <w:rPr>
          <w:sz w:val="22"/>
          <w:szCs w:val="22"/>
        </w:rPr>
        <w:fldChar w:fldCharType="end"/>
      </w:r>
      <w:r w:rsidRPr="009F3853">
        <w:rPr>
          <w:sz w:val="22"/>
          <w:szCs w:val="22"/>
        </w:rPr>
        <w:t xml:space="preserve"> </w:t>
      </w:r>
    </w:p>
    <w:p w14:paraId="04F4B310" w14:textId="715D3C0B" w:rsidR="00B43847" w:rsidRPr="009F3853" w:rsidRDefault="00B43847" w:rsidP="00CC51DA">
      <w:pPr>
        <w:pStyle w:val="Default"/>
        <w:numPr>
          <w:ilvl w:val="0"/>
          <w:numId w:val="1"/>
        </w:numPr>
        <w:rPr>
          <w:sz w:val="22"/>
          <w:szCs w:val="22"/>
        </w:rPr>
      </w:pPr>
      <w:r w:rsidRPr="009F3853">
        <w:rPr>
          <w:sz w:val="22"/>
          <w:szCs w:val="22"/>
        </w:rPr>
        <w:t>Young people with musculoskeletal conditions who are on a work placement as part of a Department for Education-supported internship programme or a BEIS traineeship can apply for support grants from the Access to Work scheme, along with young people who need support during the job interview process.</w:t>
      </w:r>
    </w:p>
    <w:p w14:paraId="7D2F29B4" w14:textId="77777777" w:rsidR="00A40367" w:rsidRPr="009F3853" w:rsidRDefault="00A40367" w:rsidP="00CC51DA">
      <w:pPr>
        <w:pStyle w:val="Default"/>
        <w:rPr>
          <w:sz w:val="22"/>
          <w:szCs w:val="22"/>
          <w:u w:val="single"/>
        </w:rPr>
      </w:pPr>
    </w:p>
    <w:p w14:paraId="18A38DB6" w14:textId="081CFE98" w:rsidR="00A40367" w:rsidRPr="009F3853" w:rsidRDefault="00812D32" w:rsidP="00CC51DA">
      <w:pPr>
        <w:pStyle w:val="Default"/>
        <w:rPr>
          <w:sz w:val="22"/>
          <w:szCs w:val="22"/>
          <w:u w:val="single"/>
        </w:rPr>
      </w:pPr>
      <w:r w:rsidRPr="009F3853">
        <w:rPr>
          <w:b/>
          <w:bCs/>
          <w:sz w:val="22"/>
          <w:szCs w:val="22"/>
          <w:u w:val="single"/>
        </w:rPr>
        <w:t xml:space="preserve">Theme </w:t>
      </w:r>
      <w:r w:rsidR="00A40367" w:rsidRPr="009F3853">
        <w:rPr>
          <w:b/>
          <w:bCs/>
          <w:sz w:val="22"/>
          <w:szCs w:val="22"/>
          <w:u w:val="single"/>
        </w:rPr>
        <w:t xml:space="preserve">5: Exploring Ways to Improve the Design of the Benefits system </w:t>
      </w:r>
    </w:p>
    <w:p w14:paraId="652BF663" w14:textId="6A617660" w:rsidR="00A40367" w:rsidRPr="009F3853" w:rsidRDefault="00A40367" w:rsidP="00CC51DA">
      <w:pPr>
        <w:pStyle w:val="Default"/>
        <w:numPr>
          <w:ilvl w:val="0"/>
          <w:numId w:val="1"/>
        </w:numPr>
        <w:rPr>
          <w:sz w:val="22"/>
          <w:szCs w:val="22"/>
        </w:rPr>
      </w:pPr>
      <w:r w:rsidRPr="009F3853">
        <w:rPr>
          <w:sz w:val="22"/>
          <w:szCs w:val="22"/>
        </w:rPr>
        <w:t xml:space="preserve">While continuing to focus financial support on people who need it most, how could we more effectively support disabled people with their extra costs and to live independently? </w:t>
      </w:r>
    </w:p>
    <w:p w14:paraId="629816CB" w14:textId="04AF839D" w:rsidR="00A40367" w:rsidRPr="009F3853" w:rsidRDefault="00A40367" w:rsidP="00CC51DA">
      <w:pPr>
        <w:pStyle w:val="Default"/>
        <w:numPr>
          <w:ilvl w:val="0"/>
          <w:numId w:val="1"/>
        </w:numPr>
        <w:rPr>
          <w:sz w:val="22"/>
          <w:szCs w:val="22"/>
        </w:rPr>
      </w:pPr>
      <w:r w:rsidRPr="009F3853">
        <w:rPr>
          <w:sz w:val="22"/>
          <w:szCs w:val="22"/>
        </w:rPr>
        <w:t xml:space="preserve">Should we explore options to make it easier for disabled people to access practical support such as aids, appliances or services, and why? </w:t>
      </w:r>
    </w:p>
    <w:p w14:paraId="41C0D8A7" w14:textId="7E260238" w:rsidR="009C0A8A" w:rsidRPr="009F3853" w:rsidRDefault="009C0A8A" w:rsidP="00CC51DA">
      <w:pPr>
        <w:spacing w:after="0"/>
        <w:rPr>
          <w:rFonts w:ascii="Arial" w:hAnsi="Arial" w:cs="Arial"/>
        </w:rPr>
      </w:pPr>
    </w:p>
    <w:p w14:paraId="1A0DF10E" w14:textId="1AB68801" w:rsidR="00292E5E" w:rsidRPr="009F3853" w:rsidRDefault="00292E5E" w:rsidP="00CC51DA">
      <w:pPr>
        <w:pStyle w:val="Default"/>
        <w:rPr>
          <w:b/>
          <w:bCs/>
          <w:sz w:val="22"/>
          <w:szCs w:val="22"/>
        </w:rPr>
      </w:pPr>
      <w:r w:rsidRPr="009F3853">
        <w:rPr>
          <w:b/>
          <w:bCs/>
          <w:sz w:val="22"/>
          <w:szCs w:val="22"/>
        </w:rPr>
        <w:t xml:space="preserve">Recommendation </w:t>
      </w:r>
    </w:p>
    <w:p w14:paraId="7481DA6E" w14:textId="20957230" w:rsidR="00F83C98" w:rsidRPr="009F3853" w:rsidRDefault="00510484" w:rsidP="00CC51DA">
      <w:pPr>
        <w:pStyle w:val="Default"/>
        <w:rPr>
          <w:sz w:val="22"/>
          <w:szCs w:val="22"/>
        </w:rPr>
      </w:pPr>
      <w:r w:rsidRPr="009F3853">
        <w:rPr>
          <w:sz w:val="22"/>
          <w:szCs w:val="22"/>
        </w:rPr>
        <w:t xml:space="preserve">DWP should work with </w:t>
      </w:r>
      <w:r w:rsidR="00AB3011" w:rsidRPr="009F3853">
        <w:rPr>
          <w:sz w:val="22"/>
          <w:szCs w:val="22"/>
        </w:rPr>
        <w:t>Ministry of Housing, Communities and Local Government</w:t>
      </w:r>
      <w:r w:rsidR="00E86D62" w:rsidRPr="009F3853">
        <w:rPr>
          <w:sz w:val="22"/>
          <w:szCs w:val="22"/>
        </w:rPr>
        <w:t xml:space="preserve"> </w:t>
      </w:r>
      <w:r w:rsidR="00E15AC5" w:rsidRPr="009F3853">
        <w:rPr>
          <w:sz w:val="22"/>
          <w:szCs w:val="22"/>
        </w:rPr>
        <w:t xml:space="preserve">(MHCLG) </w:t>
      </w:r>
      <w:r w:rsidR="00E86D62" w:rsidRPr="009F3853">
        <w:rPr>
          <w:sz w:val="22"/>
          <w:szCs w:val="22"/>
        </w:rPr>
        <w:t xml:space="preserve">and the Local Government Association to signpost </w:t>
      </w:r>
      <w:r w:rsidR="00E35D70" w:rsidRPr="009F3853">
        <w:rPr>
          <w:sz w:val="22"/>
          <w:szCs w:val="22"/>
        </w:rPr>
        <w:t xml:space="preserve">people </w:t>
      </w:r>
      <w:r w:rsidR="00E15AC5" w:rsidRPr="009F3853">
        <w:rPr>
          <w:sz w:val="22"/>
          <w:szCs w:val="22"/>
        </w:rPr>
        <w:t xml:space="preserve">receiving benefits or employment support </w:t>
      </w:r>
      <w:r w:rsidR="00DA537A" w:rsidRPr="009F3853">
        <w:rPr>
          <w:sz w:val="22"/>
          <w:szCs w:val="22"/>
        </w:rPr>
        <w:t xml:space="preserve">to information on accessing aids and adaptations </w:t>
      </w:r>
      <w:r w:rsidR="003D26A0" w:rsidRPr="009F3853">
        <w:rPr>
          <w:sz w:val="22"/>
          <w:szCs w:val="22"/>
        </w:rPr>
        <w:t>d</w:t>
      </w:r>
      <w:r w:rsidR="00030136" w:rsidRPr="009F3853">
        <w:rPr>
          <w:sz w:val="22"/>
          <w:szCs w:val="22"/>
        </w:rPr>
        <w:t>esigned to maintain independence</w:t>
      </w:r>
      <w:r w:rsidR="003D26A0" w:rsidRPr="009F3853">
        <w:rPr>
          <w:sz w:val="22"/>
          <w:szCs w:val="22"/>
        </w:rPr>
        <w:t>, which they may also be eligible for.</w:t>
      </w:r>
      <w:r w:rsidR="00030136" w:rsidRPr="009F3853">
        <w:rPr>
          <w:sz w:val="22"/>
          <w:szCs w:val="22"/>
        </w:rPr>
        <w:t xml:space="preserve"> </w:t>
      </w:r>
    </w:p>
    <w:p w14:paraId="0984504F" w14:textId="64D9042B" w:rsidR="00510484" w:rsidRPr="009F3853" w:rsidRDefault="00E35D70" w:rsidP="00CC51DA">
      <w:pPr>
        <w:pStyle w:val="Default"/>
        <w:rPr>
          <w:sz w:val="22"/>
          <w:szCs w:val="22"/>
        </w:rPr>
      </w:pPr>
      <w:r w:rsidRPr="009F3853">
        <w:rPr>
          <w:sz w:val="22"/>
          <w:szCs w:val="22"/>
        </w:rPr>
        <w:t xml:space="preserve"> </w:t>
      </w:r>
      <w:r w:rsidR="00E86D62" w:rsidRPr="009F3853">
        <w:rPr>
          <w:sz w:val="22"/>
          <w:szCs w:val="22"/>
        </w:rPr>
        <w:t xml:space="preserve"> </w:t>
      </w:r>
    </w:p>
    <w:p w14:paraId="501ADE60" w14:textId="0559B0FE" w:rsidR="00255655" w:rsidRPr="009F3853" w:rsidRDefault="00292E5E" w:rsidP="00CC51DA">
      <w:pPr>
        <w:pStyle w:val="Default"/>
        <w:rPr>
          <w:b/>
          <w:bCs/>
          <w:sz w:val="22"/>
          <w:szCs w:val="22"/>
        </w:rPr>
      </w:pPr>
      <w:r w:rsidRPr="009F3853">
        <w:rPr>
          <w:b/>
          <w:bCs/>
          <w:sz w:val="22"/>
          <w:szCs w:val="22"/>
        </w:rPr>
        <w:t>Context</w:t>
      </w:r>
    </w:p>
    <w:p w14:paraId="179B433B" w14:textId="406AB0FB" w:rsidR="000E4A44" w:rsidRPr="009F3853" w:rsidRDefault="00255655" w:rsidP="00CC51DA">
      <w:pPr>
        <w:pStyle w:val="Default"/>
        <w:numPr>
          <w:ilvl w:val="0"/>
          <w:numId w:val="1"/>
        </w:numPr>
        <w:rPr>
          <w:sz w:val="22"/>
          <w:szCs w:val="22"/>
        </w:rPr>
      </w:pPr>
      <w:r w:rsidRPr="009F3853">
        <w:rPr>
          <w:sz w:val="22"/>
          <w:szCs w:val="22"/>
        </w:rPr>
        <w:t xml:space="preserve">To help empower people with disabilities and long-term health conditions to live independently, under the Care Act 2014 local authorities are obligated to </w:t>
      </w:r>
      <w:r w:rsidR="00F154B9" w:rsidRPr="009F3853">
        <w:rPr>
          <w:sz w:val="22"/>
          <w:szCs w:val="22"/>
        </w:rPr>
        <w:t xml:space="preserve">‘promote…an individual’s </w:t>
      </w:r>
      <w:r w:rsidR="00A52AB5" w:rsidRPr="009F3853">
        <w:rPr>
          <w:sz w:val="22"/>
          <w:szCs w:val="22"/>
        </w:rPr>
        <w:t>wellbeing</w:t>
      </w:r>
      <w:r w:rsidR="00F154B9" w:rsidRPr="009F3853">
        <w:rPr>
          <w:sz w:val="22"/>
          <w:szCs w:val="22"/>
        </w:rPr>
        <w:t xml:space="preserve">’ and </w:t>
      </w:r>
      <w:r w:rsidRPr="009F3853">
        <w:rPr>
          <w:sz w:val="22"/>
          <w:szCs w:val="22"/>
        </w:rPr>
        <w:t>‘provide or arrange for services intended to prevent, reduce or delay care and support needs for adults and carers’.</w:t>
      </w:r>
      <w:r w:rsidR="001701DF" w:rsidRPr="009F3853">
        <w:rPr>
          <w:sz w:val="22"/>
          <w:szCs w:val="22"/>
        </w:rPr>
        <w:t xml:space="preserve"> </w:t>
      </w:r>
      <w:r w:rsidR="0032333B" w:rsidRPr="009F3853">
        <w:rPr>
          <w:sz w:val="22"/>
          <w:szCs w:val="22"/>
        </w:rPr>
        <w:t>It is important to note that, in this context, the definition of wellbeing includes</w:t>
      </w:r>
      <w:r w:rsidR="00D87C15" w:rsidRPr="009F3853">
        <w:rPr>
          <w:sz w:val="22"/>
          <w:szCs w:val="22"/>
        </w:rPr>
        <w:t xml:space="preserve"> </w:t>
      </w:r>
      <w:r w:rsidR="006C6F32" w:rsidRPr="009F3853">
        <w:rPr>
          <w:sz w:val="22"/>
          <w:szCs w:val="22"/>
        </w:rPr>
        <w:t xml:space="preserve">the ability to </w:t>
      </w:r>
      <w:r w:rsidR="00D87C15" w:rsidRPr="009F3853">
        <w:rPr>
          <w:sz w:val="22"/>
          <w:szCs w:val="22"/>
        </w:rPr>
        <w:t>participat</w:t>
      </w:r>
      <w:r w:rsidR="006C6F32" w:rsidRPr="009F3853">
        <w:rPr>
          <w:sz w:val="22"/>
          <w:szCs w:val="22"/>
        </w:rPr>
        <w:t>e</w:t>
      </w:r>
      <w:r w:rsidR="00D87C15" w:rsidRPr="009F3853">
        <w:rPr>
          <w:sz w:val="22"/>
          <w:szCs w:val="22"/>
        </w:rPr>
        <w:t xml:space="preserve"> in work, education, </w:t>
      </w:r>
      <w:r w:rsidR="006C6F32" w:rsidRPr="009F3853">
        <w:rPr>
          <w:sz w:val="22"/>
          <w:szCs w:val="22"/>
        </w:rPr>
        <w:t xml:space="preserve">and </w:t>
      </w:r>
      <w:r w:rsidR="00D87C15" w:rsidRPr="009F3853">
        <w:rPr>
          <w:sz w:val="22"/>
          <w:szCs w:val="22"/>
        </w:rPr>
        <w:t>training</w:t>
      </w:r>
      <w:r w:rsidR="006C6F32" w:rsidRPr="009F3853">
        <w:rPr>
          <w:sz w:val="22"/>
          <w:szCs w:val="22"/>
        </w:rPr>
        <w:t>.</w:t>
      </w:r>
      <w:bookmarkStart w:id="6" w:name="_Ref80111454"/>
      <w:r w:rsidR="007C79E3" w:rsidRPr="009F3853">
        <w:rPr>
          <w:rStyle w:val="EndnoteReference"/>
          <w:sz w:val="22"/>
          <w:szCs w:val="22"/>
        </w:rPr>
        <w:endnoteReference w:id="20"/>
      </w:r>
      <w:bookmarkEnd w:id="6"/>
      <w:r w:rsidR="006C6F32" w:rsidRPr="009F3853">
        <w:rPr>
          <w:sz w:val="22"/>
          <w:szCs w:val="22"/>
        </w:rPr>
        <w:t xml:space="preserve"> </w:t>
      </w:r>
    </w:p>
    <w:p w14:paraId="5DDC022A" w14:textId="1537FC7A" w:rsidR="00255655" w:rsidRPr="009F3853" w:rsidRDefault="001701DF" w:rsidP="00CC51DA">
      <w:pPr>
        <w:pStyle w:val="Default"/>
        <w:numPr>
          <w:ilvl w:val="0"/>
          <w:numId w:val="1"/>
        </w:numPr>
        <w:rPr>
          <w:sz w:val="22"/>
          <w:szCs w:val="22"/>
        </w:rPr>
      </w:pPr>
      <w:r w:rsidRPr="009F3853">
        <w:rPr>
          <w:sz w:val="22"/>
          <w:szCs w:val="22"/>
        </w:rPr>
        <w:t xml:space="preserve">This prevention duty </w:t>
      </w:r>
      <w:r w:rsidR="007C670D" w:rsidRPr="009F3853">
        <w:rPr>
          <w:sz w:val="22"/>
          <w:szCs w:val="22"/>
        </w:rPr>
        <w:t xml:space="preserve">encompasses </w:t>
      </w:r>
      <w:r w:rsidR="00116F33" w:rsidRPr="009F3853">
        <w:rPr>
          <w:sz w:val="22"/>
          <w:szCs w:val="22"/>
        </w:rPr>
        <w:t xml:space="preserve">both primary prevention, which is designed to </w:t>
      </w:r>
      <w:r w:rsidR="00333F00" w:rsidRPr="009F3853">
        <w:rPr>
          <w:sz w:val="22"/>
          <w:szCs w:val="22"/>
        </w:rPr>
        <w:t xml:space="preserve">stop people </w:t>
      </w:r>
      <w:r w:rsidR="004C416D" w:rsidRPr="009F3853">
        <w:rPr>
          <w:sz w:val="22"/>
          <w:szCs w:val="22"/>
        </w:rPr>
        <w:t xml:space="preserve">developing </w:t>
      </w:r>
      <w:r w:rsidR="00265AEC" w:rsidRPr="009F3853">
        <w:rPr>
          <w:sz w:val="22"/>
          <w:szCs w:val="22"/>
        </w:rPr>
        <w:t xml:space="preserve">support </w:t>
      </w:r>
      <w:r w:rsidR="004C416D" w:rsidRPr="009F3853">
        <w:rPr>
          <w:sz w:val="22"/>
          <w:szCs w:val="22"/>
        </w:rPr>
        <w:t xml:space="preserve">needs, </w:t>
      </w:r>
      <w:r w:rsidR="00A04EEE" w:rsidRPr="009F3853">
        <w:rPr>
          <w:sz w:val="22"/>
          <w:szCs w:val="22"/>
        </w:rPr>
        <w:t xml:space="preserve">as well as secondary and tertiary prevention, which focuses on </w:t>
      </w:r>
      <w:r w:rsidR="00AB65D4" w:rsidRPr="009F3853">
        <w:rPr>
          <w:sz w:val="22"/>
          <w:szCs w:val="22"/>
        </w:rPr>
        <w:t xml:space="preserve">avoiding </w:t>
      </w:r>
      <w:r w:rsidR="00CB2521" w:rsidRPr="009F3853">
        <w:rPr>
          <w:sz w:val="22"/>
          <w:szCs w:val="22"/>
        </w:rPr>
        <w:t xml:space="preserve">further </w:t>
      </w:r>
      <w:r w:rsidR="000E4A44" w:rsidRPr="009F3853">
        <w:rPr>
          <w:sz w:val="22"/>
          <w:szCs w:val="22"/>
        </w:rPr>
        <w:t>deterioration</w:t>
      </w:r>
      <w:r w:rsidR="00CB2521" w:rsidRPr="009F3853">
        <w:rPr>
          <w:sz w:val="22"/>
          <w:szCs w:val="22"/>
        </w:rPr>
        <w:t xml:space="preserve"> and m</w:t>
      </w:r>
      <w:r w:rsidR="00E541F8" w:rsidRPr="009F3853">
        <w:rPr>
          <w:sz w:val="22"/>
          <w:szCs w:val="22"/>
        </w:rPr>
        <w:t xml:space="preserve">inimising the impact of </w:t>
      </w:r>
      <w:r w:rsidR="000E4A44" w:rsidRPr="009F3853">
        <w:rPr>
          <w:sz w:val="22"/>
          <w:szCs w:val="22"/>
        </w:rPr>
        <w:t>a person’s condition</w:t>
      </w:r>
      <w:r w:rsidR="000359F2" w:rsidRPr="009F3853">
        <w:rPr>
          <w:sz w:val="22"/>
          <w:szCs w:val="22"/>
        </w:rPr>
        <w:t xml:space="preserve"> on their life</w:t>
      </w:r>
      <w:r w:rsidR="000E4A44" w:rsidRPr="009F3853">
        <w:rPr>
          <w:sz w:val="22"/>
          <w:szCs w:val="22"/>
        </w:rPr>
        <w:t>.</w:t>
      </w:r>
      <w:r w:rsidR="00956538" w:rsidRPr="009F3853">
        <w:rPr>
          <w:rStyle w:val="EndnoteReference"/>
          <w:sz w:val="22"/>
          <w:szCs w:val="22"/>
        </w:rPr>
        <w:endnoteReference w:id="21"/>
      </w:r>
      <w:r w:rsidR="000E4A44" w:rsidRPr="009F3853">
        <w:rPr>
          <w:sz w:val="22"/>
          <w:szCs w:val="22"/>
        </w:rPr>
        <w:t xml:space="preserve"> </w:t>
      </w:r>
    </w:p>
    <w:p w14:paraId="592CEE7D" w14:textId="6F29A14B" w:rsidR="00DA36A5" w:rsidRPr="009F3853" w:rsidRDefault="00DA36A5" w:rsidP="00CC51DA">
      <w:pPr>
        <w:pStyle w:val="Default"/>
        <w:numPr>
          <w:ilvl w:val="0"/>
          <w:numId w:val="1"/>
        </w:numPr>
        <w:rPr>
          <w:sz w:val="22"/>
          <w:szCs w:val="22"/>
        </w:rPr>
      </w:pPr>
      <w:r w:rsidRPr="009F3853">
        <w:rPr>
          <w:sz w:val="22"/>
          <w:szCs w:val="22"/>
        </w:rPr>
        <w:t xml:space="preserve">Local authorities under this legislation are </w:t>
      </w:r>
      <w:r w:rsidR="00020A28" w:rsidRPr="009F3853">
        <w:rPr>
          <w:sz w:val="22"/>
          <w:szCs w:val="22"/>
        </w:rPr>
        <w:t>also required to provide accessible information and advice about the care and support services they provide</w:t>
      </w:r>
      <w:r w:rsidR="00C67BBC" w:rsidRPr="009F3853">
        <w:rPr>
          <w:sz w:val="22"/>
          <w:szCs w:val="22"/>
        </w:rPr>
        <w:t>.</w:t>
      </w:r>
      <w:r w:rsidR="00782D28" w:rsidRPr="009F3853">
        <w:rPr>
          <w:sz w:val="22"/>
          <w:szCs w:val="22"/>
        </w:rPr>
        <w:fldChar w:fldCharType="begin"/>
      </w:r>
      <w:r w:rsidR="00782D28" w:rsidRPr="009F3853">
        <w:rPr>
          <w:sz w:val="22"/>
          <w:szCs w:val="22"/>
        </w:rPr>
        <w:instrText xml:space="preserve"> NOTEREF _Ref80111454 \f \h </w:instrText>
      </w:r>
      <w:r w:rsidR="009F3853" w:rsidRPr="009F3853">
        <w:rPr>
          <w:sz w:val="22"/>
          <w:szCs w:val="22"/>
        </w:rPr>
        <w:instrText xml:space="preserve"> \* MERGEFORMAT </w:instrText>
      </w:r>
      <w:r w:rsidR="00782D28" w:rsidRPr="009F3853">
        <w:rPr>
          <w:sz w:val="22"/>
          <w:szCs w:val="22"/>
        </w:rPr>
      </w:r>
      <w:r w:rsidR="00782D28" w:rsidRPr="009F3853">
        <w:rPr>
          <w:sz w:val="22"/>
          <w:szCs w:val="22"/>
        </w:rPr>
        <w:fldChar w:fldCharType="separate"/>
      </w:r>
      <w:r w:rsidR="0026190E" w:rsidRPr="0026190E">
        <w:rPr>
          <w:rStyle w:val="EndnoteReference"/>
          <w:sz w:val="22"/>
          <w:szCs w:val="22"/>
        </w:rPr>
        <w:t>19</w:t>
      </w:r>
      <w:r w:rsidR="00782D28" w:rsidRPr="009F3853">
        <w:rPr>
          <w:sz w:val="22"/>
          <w:szCs w:val="22"/>
        </w:rPr>
        <w:fldChar w:fldCharType="end"/>
      </w:r>
    </w:p>
    <w:p w14:paraId="1330201F" w14:textId="2AAF8BC1" w:rsidR="00292E5E" w:rsidRPr="009F3853" w:rsidRDefault="00255655" w:rsidP="00CC51DA">
      <w:pPr>
        <w:pStyle w:val="Default"/>
        <w:numPr>
          <w:ilvl w:val="0"/>
          <w:numId w:val="1"/>
        </w:numPr>
        <w:rPr>
          <w:sz w:val="22"/>
          <w:szCs w:val="22"/>
        </w:rPr>
      </w:pPr>
      <w:r w:rsidRPr="009F3853">
        <w:rPr>
          <w:sz w:val="22"/>
          <w:szCs w:val="22"/>
        </w:rPr>
        <w:t>A key part of this legislation for people with musculoskeletal conditions is the provision of</w:t>
      </w:r>
      <w:r w:rsidR="00D37A8A" w:rsidRPr="009F3853">
        <w:rPr>
          <w:sz w:val="22"/>
          <w:szCs w:val="22"/>
        </w:rPr>
        <w:t xml:space="preserve"> </w:t>
      </w:r>
      <w:r w:rsidRPr="009F3853">
        <w:rPr>
          <w:sz w:val="22"/>
          <w:szCs w:val="22"/>
        </w:rPr>
        <w:t>aids and adaptations that are designed to facilitate independent living.</w:t>
      </w:r>
      <w:r w:rsidR="00313760" w:rsidRPr="009F3853">
        <w:rPr>
          <w:sz w:val="22"/>
          <w:szCs w:val="22"/>
        </w:rPr>
        <w:t xml:space="preserve"> People with eligible needs are entitled to community equipment, defined as aids of any value and adaptations that cost less than £1</w:t>
      </w:r>
      <w:r w:rsidR="56211DF2" w:rsidRPr="009F3853">
        <w:rPr>
          <w:sz w:val="22"/>
          <w:szCs w:val="22"/>
        </w:rPr>
        <w:t>,</w:t>
      </w:r>
      <w:r w:rsidR="00313760" w:rsidRPr="009F3853">
        <w:rPr>
          <w:sz w:val="22"/>
          <w:szCs w:val="22"/>
        </w:rPr>
        <w:t>000, for free by their local authority.</w:t>
      </w:r>
      <w:r w:rsidR="00782D28" w:rsidRPr="009F3853">
        <w:rPr>
          <w:sz w:val="22"/>
          <w:szCs w:val="22"/>
        </w:rPr>
        <w:fldChar w:fldCharType="begin"/>
      </w:r>
      <w:r w:rsidR="00782D28" w:rsidRPr="009F3853">
        <w:rPr>
          <w:sz w:val="22"/>
          <w:szCs w:val="22"/>
        </w:rPr>
        <w:instrText xml:space="preserve"> NOTEREF _Ref80111454 \f \h </w:instrText>
      </w:r>
      <w:r w:rsidR="009F3853" w:rsidRPr="009F3853">
        <w:rPr>
          <w:sz w:val="22"/>
          <w:szCs w:val="22"/>
        </w:rPr>
        <w:instrText xml:space="preserve"> \* MERGEFORMAT </w:instrText>
      </w:r>
      <w:r w:rsidR="00782D28" w:rsidRPr="009F3853">
        <w:rPr>
          <w:sz w:val="22"/>
          <w:szCs w:val="22"/>
        </w:rPr>
      </w:r>
      <w:r w:rsidR="00782D28" w:rsidRPr="009F3853">
        <w:rPr>
          <w:sz w:val="22"/>
          <w:szCs w:val="22"/>
        </w:rPr>
        <w:fldChar w:fldCharType="separate"/>
      </w:r>
      <w:r w:rsidR="0026190E" w:rsidRPr="0026190E">
        <w:rPr>
          <w:rStyle w:val="EndnoteReference"/>
          <w:sz w:val="22"/>
          <w:szCs w:val="22"/>
        </w:rPr>
        <w:t>19</w:t>
      </w:r>
      <w:r w:rsidR="00782D28" w:rsidRPr="009F3853">
        <w:rPr>
          <w:sz w:val="22"/>
          <w:szCs w:val="22"/>
        </w:rPr>
        <w:fldChar w:fldCharType="end"/>
      </w:r>
      <w:r w:rsidRPr="009F3853">
        <w:rPr>
          <w:sz w:val="22"/>
          <w:szCs w:val="22"/>
        </w:rPr>
        <w:t xml:space="preserve"> </w:t>
      </w:r>
    </w:p>
    <w:p w14:paraId="248C6A98" w14:textId="39A07256" w:rsidR="00F87AD2" w:rsidRPr="009F3853" w:rsidRDefault="00F87AD2" w:rsidP="00CC51DA">
      <w:pPr>
        <w:pStyle w:val="Default"/>
        <w:numPr>
          <w:ilvl w:val="0"/>
          <w:numId w:val="1"/>
        </w:numPr>
        <w:rPr>
          <w:sz w:val="22"/>
          <w:szCs w:val="22"/>
        </w:rPr>
      </w:pPr>
      <w:r w:rsidRPr="009F3853">
        <w:rPr>
          <w:sz w:val="22"/>
          <w:szCs w:val="22"/>
        </w:rPr>
        <w:t>While home aids and adaptations can be transformative for people living with a musculoskeletal condition, lack of awareness</w:t>
      </w:r>
      <w:r w:rsidR="00D91121" w:rsidRPr="009F3853">
        <w:rPr>
          <w:sz w:val="22"/>
          <w:szCs w:val="22"/>
        </w:rPr>
        <w:t xml:space="preserve"> of this service</w:t>
      </w:r>
      <w:r w:rsidRPr="009F3853">
        <w:rPr>
          <w:sz w:val="22"/>
          <w:szCs w:val="22"/>
        </w:rPr>
        <w:t xml:space="preserve"> </w:t>
      </w:r>
      <w:r w:rsidR="004859B3" w:rsidRPr="009F3853">
        <w:rPr>
          <w:sz w:val="22"/>
          <w:szCs w:val="22"/>
        </w:rPr>
        <w:t xml:space="preserve">is an ongoing challenge; Versus Arthritis </w:t>
      </w:r>
      <w:r w:rsidR="00EE4B5B" w:rsidRPr="009F3853">
        <w:rPr>
          <w:sz w:val="22"/>
          <w:szCs w:val="22"/>
        </w:rPr>
        <w:t xml:space="preserve">research found that </w:t>
      </w:r>
      <w:r w:rsidR="00484148" w:rsidRPr="009F3853">
        <w:rPr>
          <w:sz w:val="22"/>
          <w:szCs w:val="22"/>
        </w:rPr>
        <w:t>only two in ten people who were eligible for support were aware of their local authority’s duty to provide equipment.</w:t>
      </w:r>
      <w:r w:rsidR="004602CA" w:rsidRPr="009F3853">
        <w:rPr>
          <w:rStyle w:val="EndnoteReference"/>
          <w:sz w:val="22"/>
          <w:szCs w:val="22"/>
        </w:rPr>
        <w:endnoteReference w:id="22"/>
      </w:r>
      <w:r w:rsidR="00484148" w:rsidRPr="009F3853">
        <w:rPr>
          <w:sz w:val="22"/>
          <w:szCs w:val="22"/>
        </w:rPr>
        <w:t xml:space="preserve"> </w:t>
      </w:r>
    </w:p>
    <w:p w14:paraId="2E7E1698" w14:textId="1CD9249A" w:rsidR="00155738" w:rsidRPr="009F3853" w:rsidRDefault="006B23B5" w:rsidP="00CC51DA">
      <w:pPr>
        <w:pStyle w:val="Default"/>
        <w:numPr>
          <w:ilvl w:val="0"/>
          <w:numId w:val="1"/>
        </w:numPr>
        <w:rPr>
          <w:sz w:val="22"/>
          <w:szCs w:val="22"/>
        </w:rPr>
      </w:pPr>
      <w:r w:rsidRPr="009F3853">
        <w:rPr>
          <w:sz w:val="22"/>
          <w:szCs w:val="22"/>
        </w:rPr>
        <w:t>It is likely that individuals who require reasonable adjustments at work</w:t>
      </w:r>
      <w:r w:rsidR="003C6025" w:rsidRPr="009F3853">
        <w:rPr>
          <w:sz w:val="22"/>
          <w:szCs w:val="22"/>
        </w:rPr>
        <w:t>,</w:t>
      </w:r>
      <w:r w:rsidRPr="009F3853">
        <w:rPr>
          <w:sz w:val="22"/>
          <w:szCs w:val="22"/>
        </w:rPr>
        <w:t xml:space="preserve"> or qualify for employment support and disability benefits</w:t>
      </w:r>
      <w:r w:rsidR="003C6025" w:rsidRPr="009F3853">
        <w:rPr>
          <w:sz w:val="22"/>
          <w:szCs w:val="22"/>
        </w:rPr>
        <w:t xml:space="preserve">, </w:t>
      </w:r>
      <w:r w:rsidRPr="009F3853">
        <w:rPr>
          <w:sz w:val="22"/>
          <w:szCs w:val="22"/>
        </w:rPr>
        <w:t xml:space="preserve">would also be eligible </w:t>
      </w:r>
      <w:r w:rsidR="00D37A8A" w:rsidRPr="009F3853">
        <w:rPr>
          <w:sz w:val="22"/>
          <w:szCs w:val="22"/>
        </w:rPr>
        <w:t>for</w:t>
      </w:r>
      <w:r w:rsidRPr="009F3853">
        <w:rPr>
          <w:sz w:val="22"/>
          <w:szCs w:val="22"/>
        </w:rPr>
        <w:t xml:space="preserve"> </w:t>
      </w:r>
      <w:r w:rsidR="00A71867" w:rsidRPr="009F3853">
        <w:rPr>
          <w:sz w:val="22"/>
          <w:szCs w:val="22"/>
        </w:rPr>
        <w:t>and benefit from</w:t>
      </w:r>
      <w:r w:rsidR="0062389D" w:rsidRPr="009F3853">
        <w:rPr>
          <w:sz w:val="22"/>
          <w:szCs w:val="22"/>
        </w:rPr>
        <w:t xml:space="preserve"> access to</w:t>
      </w:r>
      <w:r w:rsidR="00B01FAA" w:rsidRPr="009F3853">
        <w:rPr>
          <w:sz w:val="22"/>
          <w:szCs w:val="22"/>
        </w:rPr>
        <w:t xml:space="preserve"> </w:t>
      </w:r>
      <w:r w:rsidR="00521801" w:rsidRPr="009F3853">
        <w:rPr>
          <w:sz w:val="22"/>
          <w:szCs w:val="22"/>
        </w:rPr>
        <w:t>aids and adaptations to help</w:t>
      </w:r>
      <w:r w:rsidR="0062389D" w:rsidRPr="009F3853">
        <w:rPr>
          <w:sz w:val="22"/>
          <w:szCs w:val="22"/>
        </w:rPr>
        <w:t xml:space="preserve"> them</w:t>
      </w:r>
      <w:r w:rsidR="00521801" w:rsidRPr="009F3853">
        <w:rPr>
          <w:sz w:val="22"/>
          <w:szCs w:val="22"/>
        </w:rPr>
        <w:t xml:space="preserve"> maintain their independence</w:t>
      </w:r>
      <w:r w:rsidR="002E2C10" w:rsidRPr="009F3853">
        <w:rPr>
          <w:sz w:val="22"/>
          <w:szCs w:val="22"/>
        </w:rPr>
        <w:t xml:space="preserve"> in their daily lives</w:t>
      </w:r>
      <w:r w:rsidR="00521801" w:rsidRPr="009F3853">
        <w:rPr>
          <w:sz w:val="22"/>
          <w:szCs w:val="22"/>
        </w:rPr>
        <w:t>.</w:t>
      </w:r>
      <w:r w:rsidR="000A092E" w:rsidRPr="009F3853">
        <w:rPr>
          <w:sz w:val="22"/>
          <w:szCs w:val="22"/>
        </w:rPr>
        <w:t xml:space="preserve"> </w:t>
      </w:r>
    </w:p>
    <w:p w14:paraId="406338DC" w14:textId="78F4B0CD" w:rsidR="006B23B5" w:rsidRPr="009F3853" w:rsidRDefault="000A092E" w:rsidP="00CC51DA">
      <w:pPr>
        <w:pStyle w:val="Default"/>
        <w:numPr>
          <w:ilvl w:val="0"/>
          <w:numId w:val="1"/>
        </w:numPr>
        <w:rPr>
          <w:sz w:val="22"/>
          <w:szCs w:val="22"/>
        </w:rPr>
      </w:pPr>
      <w:r w:rsidRPr="009F3853">
        <w:rPr>
          <w:sz w:val="22"/>
          <w:szCs w:val="22"/>
        </w:rPr>
        <w:t>Having better support</w:t>
      </w:r>
      <w:r w:rsidR="00155738" w:rsidRPr="009F3853">
        <w:rPr>
          <w:sz w:val="22"/>
          <w:szCs w:val="22"/>
        </w:rPr>
        <w:t xml:space="preserve"> outside of work</w:t>
      </w:r>
      <w:r w:rsidR="002E2C10" w:rsidRPr="009F3853">
        <w:rPr>
          <w:sz w:val="22"/>
          <w:szCs w:val="22"/>
        </w:rPr>
        <w:t xml:space="preserve"> settings</w:t>
      </w:r>
      <w:r w:rsidR="004A474E" w:rsidRPr="009F3853">
        <w:rPr>
          <w:sz w:val="22"/>
          <w:szCs w:val="22"/>
        </w:rPr>
        <w:t xml:space="preserve"> </w:t>
      </w:r>
      <w:r w:rsidR="002E2C10" w:rsidRPr="009F3853">
        <w:rPr>
          <w:sz w:val="22"/>
          <w:szCs w:val="22"/>
        </w:rPr>
        <w:t xml:space="preserve">designed to </w:t>
      </w:r>
      <w:r w:rsidR="008C3C5A" w:rsidRPr="009F3853">
        <w:rPr>
          <w:sz w:val="22"/>
          <w:szCs w:val="22"/>
        </w:rPr>
        <w:t>maintain</w:t>
      </w:r>
      <w:r w:rsidR="00155738" w:rsidRPr="009F3853">
        <w:rPr>
          <w:sz w:val="22"/>
          <w:szCs w:val="22"/>
        </w:rPr>
        <w:t xml:space="preserve"> </w:t>
      </w:r>
      <w:r w:rsidR="002E2C10" w:rsidRPr="009F3853">
        <w:rPr>
          <w:sz w:val="22"/>
          <w:szCs w:val="22"/>
        </w:rPr>
        <w:t>independe</w:t>
      </w:r>
      <w:r w:rsidR="003627B0" w:rsidRPr="009F3853">
        <w:rPr>
          <w:sz w:val="22"/>
          <w:szCs w:val="22"/>
        </w:rPr>
        <w:t xml:space="preserve">nt </w:t>
      </w:r>
      <w:r w:rsidR="00C42379" w:rsidRPr="009F3853">
        <w:rPr>
          <w:sz w:val="22"/>
          <w:szCs w:val="22"/>
        </w:rPr>
        <w:t>living</w:t>
      </w:r>
      <w:r w:rsidR="00C128A0" w:rsidRPr="009F3853">
        <w:rPr>
          <w:sz w:val="22"/>
          <w:szCs w:val="22"/>
        </w:rPr>
        <w:t xml:space="preserve"> can also indirectly help ensure </w:t>
      </w:r>
      <w:r w:rsidR="00421998" w:rsidRPr="009F3853">
        <w:rPr>
          <w:sz w:val="22"/>
          <w:szCs w:val="22"/>
        </w:rPr>
        <w:t xml:space="preserve">individuals </w:t>
      </w:r>
      <w:r w:rsidR="00C128A0" w:rsidRPr="009F3853">
        <w:rPr>
          <w:sz w:val="22"/>
          <w:szCs w:val="22"/>
        </w:rPr>
        <w:t>remain</w:t>
      </w:r>
      <w:r w:rsidR="00CC0417" w:rsidRPr="009F3853">
        <w:rPr>
          <w:sz w:val="22"/>
          <w:szCs w:val="22"/>
        </w:rPr>
        <w:t xml:space="preserve"> well enough to stay in work. Therefore, promoting and signposting this </w:t>
      </w:r>
      <w:r w:rsidR="00315D83" w:rsidRPr="009F3853">
        <w:rPr>
          <w:sz w:val="22"/>
          <w:szCs w:val="22"/>
        </w:rPr>
        <w:t xml:space="preserve">source </w:t>
      </w:r>
      <w:r w:rsidR="00CC0417" w:rsidRPr="009F3853">
        <w:rPr>
          <w:sz w:val="22"/>
          <w:szCs w:val="22"/>
        </w:rPr>
        <w:t xml:space="preserve">of support </w:t>
      </w:r>
      <w:r w:rsidR="00E45A2E" w:rsidRPr="009F3853">
        <w:rPr>
          <w:sz w:val="22"/>
          <w:szCs w:val="22"/>
        </w:rPr>
        <w:t>through the DWP cou</w:t>
      </w:r>
      <w:r w:rsidR="00D075DF" w:rsidRPr="009F3853">
        <w:rPr>
          <w:sz w:val="22"/>
          <w:szCs w:val="22"/>
        </w:rPr>
        <w:t>ld help ensure people with disabilities and health conditions are supported in a holistic</w:t>
      </w:r>
      <w:r w:rsidR="00D37A8A" w:rsidRPr="009F3853">
        <w:rPr>
          <w:sz w:val="22"/>
          <w:szCs w:val="22"/>
        </w:rPr>
        <w:t xml:space="preserve"> and more effective</w:t>
      </w:r>
      <w:r w:rsidR="00D075DF" w:rsidRPr="009F3853">
        <w:rPr>
          <w:sz w:val="22"/>
          <w:szCs w:val="22"/>
        </w:rPr>
        <w:t xml:space="preserve"> way</w:t>
      </w:r>
      <w:r w:rsidR="00D37A8A" w:rsidRPr="009F3853">
        <w:rPr>
          <w:sz w:val="22"/>
          <w:szCs w:val="22"/>
        </w:rPr>
        <w:t xml:space="preserve">. </w:t>
      </w:r>
      <w:r w:rsidR="00D075DF" w:rsidRPr="009F3853">
        <w:rPr>
          <w:sz w:val="22"/>
          <w:szCs w:val="22"/>
        </w:rPr>
        <w:t xml:space="preserve"> </w:t>
      </w:r>
    </w:p>
    <w:p w14:paraId="271417A7" w14:textId="77777777" w:rsidR="00DB0D1E" w:rsidRPr="009F3853" w:rsidRDefault="00DB0D1E" w:rsidP="00CC51DA">
      <w:pPr>
        <w:pStyle w:val="Default"/>
        <w:ind w:left="360"/>
        <w:rPr>
          <w:sz w:val="22"/>
          <w:szCs w:val="22"/>
        </w:rPr>
      </w:pPr>
    </w:p>
    <w:p w14:paraId="61BCA38F" w14:textId="54CF0F0D" w:rsidR="004602CA" w:rsidRPr="009F3853" w:rsidRDefault="00CA13C0" w:rsidP="00CC51DA">
      <w:pPr>
        <w:pStyle w:val="Default"/>
        <w:rPr>
          <w:sz w:val="22"/>
          <w:szCs w:val="22"/>
        </w:rPr>
      </w:pPr>
      <w:r w:rsidRPr="009F3853">
        <w:rPr>
          <w:noProof/>
          <w:sz w:val="22"/>
          <w:szCs w:val="22"/>
        </w:rPr>
        <mc:AlternateContent>
          <mc:Choice Requires="wps">
            <w:drawing>
              <wp:anchor distT="0" distB="0" distL="114300" distR="114300" simplePos="0" relativeHeight="251657216" behindDoc="0" locked="0" layoutInCell="1" allowOverlap="1" wp14:anchorId="26815B36" wp14:editId="1597C133">
                <wp:simplePos x="0" y="0"/>
                <wp:positionH relativeFrom="margin">
                  <wp:align>left</wp:align>
                </wp:positionH>
                <wp:positionV relativeFrom="paragraph">
                  <wp:posOffset>130810</wp:posOffset>
                </wp:positionV>
                <wp:extent cx="3877857" cy="6674"/>
                <wp:effectExtent l="0" t="0" r="27940" b="31750"/>
                <wp:wrapNone/>
                <wp:docPr id="1" name="Straight Connector 1"/>
                <wp:cNvGraphicFramePr/>
                <a:graphic xmlns:a="http://schemas.openxmlformats.org/drawingml/2006/main">
                  <a:graphicData uri="http://schemas.microsoft.com/office/word/2010/wordprocessingShape">
                    <wps:wsp>
                      <wps:cNvCnPr/>
                      <wps:spPr>
                        <a:xfrm flipV="1">
                          <a:off x="0" y="0"/>
                          <a:ext cx="3877857" cy="6674"/>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BFB079" id="Straight Connector 1" o:spid="_x0000_s1026" style="position:absolute;flip:y;z-index:251657216;visibility:visible;mso-wrap-style:square;mso-wrap-distance-left:9pt;mso-wrap-distance-top:0;mso-wrap-distance-right:9pt;mso-wrap-distance-bottom:0;mso-position-horizontal:left;mso-position-horizontal-relative:margin;mso-position-vertical:absolute;mso-position-vertical-relative:text" from="0,10.3pt" to="305.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" strokecolor="black [3200]">
                <v:stroke joinstyle="miter"/>
                <w10:wrap anchorx="margin"/>
              </v:line>
            </w:pict>
          </mc:Fallback>
        </mc:AlternateContent>
      </w:r>
    </w:p>
    <w:p w14:paraId="5FF37746" w14:textId="08D519AD" w:rsidR="00CA13C0" w:rsidRPr="009F3853" w:rsidRDefault="00C45999" w:rsidP="00CC51DA">
      <w:pPr>
        <w:pStyle w:val="Default"/>
        <w:rPr>
          <w:sz w:val="22"/>
          <w:szCs w:val="22"/>
        </w:rPr>
      </w:pPr>
      <w:r w:rsidRPr="009F3853">
        <w:rPr>
          <w:sz w:val="22"/>
          <w:szCs w:val="22"/>
        </w:rPr>
        <w:t xml:space="preserve">For further information on this submission, please contact: Madeleine Webb, Policy Officer, Versus Arthritis: </w:t>
      </w:r>
      <w:hyperlink r:id="rId13" w:history="1">
        <w:r w:rsidRPr="009F3853">
          <w:rPr>
            <w:rStyle w:val="Hyperlink"/>
            <w:sz w:val="22"/>
            <w:szCs w:val="22"/>
          </w:rPr>
          <w:t>m.evanswebb@versusarthritis.org</w:t>
        </w:r>
      </w:hyperlink>
      <w:r w:rsidRPr="009F3853">
        <w:rPr>
          <w:sz w:val="22"/>
          <w:szCs w:val="22"/>
        </w:rPr>
        <w:t xml:space="preserve"> </w:t>
      </w:r>
    </w:p>
    <w:p w14:paraId="0B32ED56" w14:textId="77777777" w:rsidR="00C45999" w:rsidRPr="009F3853" w:rsidRDefault="00C45999" w:rsidP="00CC51DA">
      <w:pPr>
        <w:pStyle w:val="Default"/>
        <w:rPr>
          <w:sz w:val="22"/>
          <w:szCs w:val="22"/>
        </w:rPr>
      </w:pPr>
    </w:p>
    <w:p w14:paraId="489FA0C3" w14:textId="38F9501A" w:rsidR="00C45999" w:rsidRPr="009F3853" w:rsidRDefault="00C45999" w:rsidP="00CC51DA">
      <w:pPr>
        <w:pStyle w:val="Default"/>
        <w:rPr>
          <w:b/>
          <w:bCs/>
        </w:rPr>
      </w:pPr>
      <w:r w:rsidRPr="009F3853">
        <w:rPr>
          <w:b/>
          <w:bCs/>
          <w:sz w:val="20"/>
          <w:szCs w:val="20"/>
        </w:rPr>
        <w:t>References</w:t>
      </w:r>
    </w:p>
    <w:sectPr w:rsidR="00C45999" w:rsidRPr="009F3853" w:rsidSect="008055A3">
      <w:footerReference w:type="default" r:id="rId14"/>
      <w:endnotePr>
        <w:numFmt w:val="decimal"/>
      </w:endnotePr>
      <w:pgSz w:w="11906" w:h="17338"/>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60BD7" w14:textId="77777777" w:rsidR="00A94519" w:rsidRDefault="00A94519" w:rsidP="00B067C5">
      <w:pPr>
        <w:spacing w:after="0" w:line="240" w:lineRule="auto"/>
      </w:pPr>
      <w:r>
        <w:separator/>
      </w:r>
    </w:p>
  </w:endnote>
  <w:endnote w:type="continuationSeparator" w:id="0">
    <w:p w14:paraId="12C1E9AC" w14:textId="77777777" w:rsidR="00A94519" w:rsidRDefault="00A94519" w:rsidP="00B067C5">
      <w:pPr>
        <w:spacing w:after="0" w:line="240" w:lineRule="auto"/>
      </w:pPr>
      <w:r>
        <w:continuationSeparator/>
      </w:r>
    </w:p>
  </w:endnote>
  <w:endnote w:type="continuationNotice" w:id="1">
    <w:p w14:paraId="682A37C1" w14:textId="77777777" w:rsidR="00A94519" w:rsidRDefault="00A94519">
      <w:pPr>
        <w:spacing w:after="0" w:line="240" w:lineRule="auto"/>
      </w:pPr>
    </w:p>
  </w:endnote>
  <w:endnote w:id="2">
    <w:p w14:paraId="2E86E8DE" w14:textId="67B2B59B" w:rsidR="00172254" w:rsidRPr="00EA547E" w:rsidRDefault="00172254" w:rsidP="00D46111">
      <w:pPr>
        <w:pStyle w:val="EndnoteText"/>
      </w:pPr>
      <w:r w:rsidRPr="00EA547E">
        <w:rPr>
          <w:rStyle w:val="EndnoteReference"/>
        </w:rPr>
        <w:endnoteRef/>
      </w:r>
      <w:r w:rsidR="00D46111" w:rsidRPr="00EA547E">
        <w:t xml:space="preserve"> </w:t>
      </w:r>
      <w:r w:rsidR="00CC5CCC" w:rsidRPr="00EA547E">
        <w:t xml:space="preserve">Chartered Institute of Personnel and Development </w:t>
      </w:r>
      <w:r w:rsidR="00D46111" w:rsidRPr="00EA547E">
        <w:t xml:space="preserve">(2021).  Health and safety at work - Outlines employers’ health and safety obligations in the UK. Accessed: </w:t>
      </w:r>
      <w:hyperlink r:id="rId1" w:history="1">
        <w:r w:rsidR="00D46111" w:rsidRPr="00EA547E">
          <w:rPr>
            <w:rStyle w:val="Hyperlink"/>
          </w:rPr>
          <w:t>https://www.cipd.co.uk/knowledge/fundamentals/emp-law/health-safety/factsheet</w:t>
        </w:r>
      </w:hyperlink>
      <w:r w:rsidR="00D46111" w:rsidRPr="00EA547E">
        <w:t xml:space="preserve"> </w:t>
      </w:r>
    </w:p>
  </w:endnote>
  <w:endnote w:id="3">
    <w:p w14:paraId="73954794" w14:textId="6007CB6A" w:rsidR="001919BA" w:rsidRPr="00EA547E" w:rsidRDefault="001919BA" w:rsidP="001919BA">
      <w:pPr>
        <w:pStyle w:val="EndnoteText"/>
      </w:pPr>
      <w:r w:rsidRPr="00EA547E">
        <w:rPr>
          <w:rStyle w:val="EndnoteReference"/>
        </w:rPr>
        <w:endnoteRef/>
      </w:r>
      <w:r w:rsidRPr="00EA547E">
        <w:t xml:space="preserve"> </w:t>
      </w:r>
      <w:r w:rsidR="000B023A" w:rsidRPr="00EA547E">
        <w:t xml:space="preserve">Office for Disability Issues (2011). </w:t>
      </w:r>
      <w:r w:rsidR="001E492E" w:rsidRPr="00EA547E">
        <w:t>Equality Act 2010 Guidance. Accessed: https://assets.publishing.service.gov.uk/government/uploads/system/uploads/attachment_data/file/570382/Equality_Act_2010-disability_definition.pdf</w:t>
      </w:r>
    </w:p>
  </w:endnote>
  <w:endnote w:id="4">
    <w:p w14:paraId="55B8DF2B" w14:textId="3B06630C" w:rsidR="00D46111" w:rsidRPr="00EA547E" w:rsidRDefault="00D46111">
      <w:pPr>
        <w:pStyle w:val="EndnoteText"/>
      </w:pPr>
      <w:r w:rsidRPr="00EA547E">
        <w:rPr>
          <w:rStyle w:val="EndnoteReference"/>
        </w:rPr>
        <w:endnoteRef/>
      </w:r>
      <w:r w:rsidRPr="00EA547E">
        <w:t xml:space="preserve"> Versus Arthritis (2019). The State of </w:t>
      </w:r>
      <w:r w:rsidR="00376972" w:rsidRPr="00EA547E">
        <w:t xml:space="preserve">Musculoskeletal Health 2019. Accessed: </w:t>
      </w:r>
      <w:hyperlink r:id="rId2" w:history="1">
        <w:r w:rsidR="00376972" w:rsidRPr="00EA547E">
          <w:rPr>
            <w:rStyle w:val="Hyperlink"/>
          </w:rPr>
          <w:t>https://www.versusarthritis.org/media/14594/state-of-musculoskeletal-health-2019.pdf</w:t>
        </w:r>
      </w:hyperlink>
      <w:r w:rsidR="00376972" w:rsidRPr="00EA547E">
        <w:t xml:space="preserve"> </w:t>
      </w:r>
    </w:p>
  </w:endnote>
  <w:endnote w:id="5">
    <w:p w14:paraId="194B8FDB" w14:textId="17881B5F" w:rsidR="00EA6DC2" w:rsidRPr="00EA547E" w:rsidRDefault="00EA6DC2">
      <w:pPr>
        <w:pStyle w:val="EndnoteText"/>
      </w:pPr>
      <w:r w:rsidRPr="00EA547E">
        <w:rPr>
          <w:rStyle w:val="EndnoteReference"/>
        </w:rPr>
        <w:endnoteRef/>
      </w:r>
      <w:r w:rsidRPr="00EA547E">
        <w:t xml:space="preserve"> Office for National Statistics (2019). Sickness absence in the UK labour market </w:t>
      </w:r>
      <w:r w:rsidR="00781874" w:rsidRPr="00EA547E">
        <w:t>–</w:t>
      </w:r>
      <w:r w:rsidRPr="00EA547E">
        <w:t xml:space="preserve"> Dataset</w:t>
      </w:r>
      <w:r w:rsidR="00781874" w:rsidRPr="00EA547E">
        <w:t xml:space="preserve">. Accessed: </w:t>
      </w:r>
      <w:hyperlink r:id="rId3" w:history="1">
        <w:r w:rsidR="00781874" w:rsidRPr="00EA547E">
          <w:rPr>
            <w:rStyle w:val="Hyperlink"/>
          </w:rPr>
          <w:t>https://www.ons.gov.uk/file?uri=%2femploymentandlabourmarket%2fpeopleinwork%2femploymentandemployeetypes%2fdatasets%2fsicknessabsenceinthelabourmarket%2f2018/sicknessabsence2018data.xlsx</w:t>
        </w:r>
      </w:hyperlink>
      <w:r w:rsidR="00781874" w:rsidRPr="00EA547E">
        <w:t xml:space="preserve"> </w:t>
      </w:r>
    </w:p>
  </w:endnote>
  <w:endnote w:id="6">
    <w:p w14:paraId="4AE7DBC3" w14:textId="7B0268F5" w:rsidR="004E00AC" w:rsidRPr="00EA547E" w:rsidRDefault="004E00AC">
      <w:pPr>
        <w:pStyle w:val="EndnoteText"/>
      </w:pPr>
      <w:r w:rsidRPr="00EA547E">
        <w:rPr>
          <w:rStyle w:val="EndnoteReference"/>
        </w:rPr>
        <w:endnoteRef/>
      </w:r>
      <w:r w:rsidRPr="00EA547E">
        <w:t xml:space="preserve"> Business in the Community (</w:t>
      </w:r>
      <w:r w:rsidR="00333FB3" w:rsidRPr="00EA547E">
        <w:t>2017</w:t>
      </w:r>
      <w:r w:rsidRPr="00EA547E">
        <w:t>). Musculoskeletal health in the workplace: a toolkit for employers</w:t>
      </w:r>
      <w:r w:rsidR="00333FB3" w:rsidRPr="00EA547E">
        <w:t>. Accessed: https://www.bitc.org.uk/wp-content/uploads/2019/10/bitc-wellbeing-toolkit-musculoskeletal-mar2017.pdf</w:t>
      </w:r>
    </w:p>
  </w:endnote>
  <w:endnote w:id="7">
    <w:p w14:paraId="52333FCF" w14:textId="3B6FE99C" w:rsidR="00A166D1" w:rsidRPr="00EA547E" w:rsidRDefault="00A166D1">
      <w:pPr>
        <w:pStyle w:val="EndnoteText"/>
      </w:pPr>
      <w:r w:rsidRPr="00EA547E">
        <w:rPr>
          <w:rStyle w:val="EndnoteReference"/>
        </w:rPr>
        <w:endnoteRef/>
      </w:r>
      <w:r w:rsidRPr="00EA547E">
        <w:t xml:space="preserve"> Versus Arthritis (</w:t>
      </w:r>
      <w:r w:rsidR="00724C94" w:rsidRPr="00EA547E">
        <w:t>2016</w:t>
      </w:r>
      <w:r w:rsidRPr="00EA547E">
        <w:t>) Working with Arthritis – Policy Report</w:t>
      </w:r>
      <w:r w:rsidR="00724C94" w:rsidRPr="00EA547E">
        <w:t xml:space="preserve">. Accessed: </w:t>
      </w:r>
      <w:hyperlink r:id="rId4" w:history="1">
        <w:r w:rsidR="00781874" w:rsidRPr="00EA547E">
          <w:rPr>
            <w:rStyle w:val="Hyperlink"/>
          </w:rPr>
          <w:t>https://www.versusarthritis.org/media/2071/working-with-arthritis-policy-report.pdf</w:t>
        </w:r>
      </w:hyperlink>
      <w:r w:rsidR="00781874" w:rsidRPr="00EA547E">
        <w:t xml:space="preserve"> </w:t>
      </w:r>
      <w:r w:rsidRPr="00EA547E">
        <w:t xml:space="preserve"> </w:t>
      </w:r>
    </w:p>
  </w:endnote>
  <w:endnote w:id="8">
    <w:p w14:paraId="14BCB20A" w14:textId="3FB43F7B" w:rsidR="0030355C" w:rsidRPr="00EA547E" w:rsidRDefault="0030355C">
      <w:pPr>
        <w:pStyle w:val="EndnoteText"/>
      </w:pPr>
      <w:r w:rsidRPr="00EA547E">
        <w:rPr>
          <w:rStyle w:val="EndnoteReference"/>
        </w:rPr>
        <w:endnoteRef/>
      </w:r>
      <w:r w:rsidRPr="00EA547E">
        <w:t xml:space="preserve"> Barnett, Karen, et al. (2012) "Epidemiology of multimorbidity and implications for health care, research, and medical education: a cross-sectional study." The Lancet 380.9836 (2012): 37-43.</w:t>
      </w:r>
    </w:p>
  </w:endnote>
  <w:endnote w:id="9">
    <w:p w14:paraId="07F15663" w14:textId="1059AB4D" w:rsidR="00A933F5" w:rsidRPr="00EA547E" w:rsidRDefault="00A933F5">
      <w:pPr>
        <w:pStyle w:val="EndnoteText"/>
      </w:pPr>
      <w:r w:rsidRPr="00EA547E">
        <w:rPr>
          <w:rStyle w:val="EndnoteReference"/>
        </w:rPr>
        <w:endnoteRef/>
      </w:r>
      <w:r w:rsidRPr="00EA547E">
        <w:t xml:space="preserve"> Versus Arthritis (2021). Chronic Pain in England: Unseen, Unequal, Unfair. Accessed: </w:t>
      </w:r>
      <w:r w:rsidR="000078F0" w:rsidRPr="00EA547E">
        <w:t>https://www.versusarthritis.org/media/23739/chronic-pain-report-june2021.pdf</w:t>
      </w:r>
    </w:p>
  </w:endnote>
  <w:endnote w:id="10">
    <w:p w14:paraId="7E640317" w14:textId="79198EAB" w:rsidR="00805885" w:rsidRPr="00EA547E" w:rsidRDefault="00805885">
      <w:pPr>
        <w:pStyle w:val="EndnoteText"/>
      </w:pPr>
      <w:r w:rsidRPr="00EA547E">
        <w:rPr>
          <w:rStyle w:val="EndnoteReference"/>
        </w:rPr>
        <w:endnoteRef/>
      </w:r>
      <w:r w:rsidRPr="00EA547E">
        <w:t xml:space="preserve"> Versus Arthritis (2020). Back Pain Britain survey results (unpublished)</w:t>
      </w:r>
    </w:p>
  </w:endnote>
  <w:endnote w:id="11">
    <w:p w14:paraId="389134E7" w14:textId="79F2A45C" w:rsidR="00EA547E" w:rsidRDefault="00EA547E">
      <w:pPr>
        <w:pStyle w:val="EndnoteText"/>
      </w:pPr>
      <w:r w:rsidRPr="00EA547E">
        <w:rPr>
          <w:rStyle w:val="EndnoteReference"/>
        </w:rPr>
        <w:endnoteRef/>
      </w:r>
      <w:r w:rsidRPr="00EA547E">
        <w:t xml:space="preserve"> Department of Health and Social Care, Office for National Statistics, Government Actuary’s Department and Home Office (2020). Direct and Indirect Impacts of COVID-19 on Excess Deaths and Morbidity: Executive Summary. Accessed: </w:t>
      </w:r>
      <w:hyperlink r:id="rId5" w:history="1">
        <w:r w:rsidRPr="006A591E">
          <w:rPr>
            <w:rStyle w:val="Hyperlink"/>
          </w:rPr>
          <w:t>https://assets.publishing.service.gov.uk/government/uploads/system/uploads/attachment_data/file/907616/s0650-direct-indirect-impacts-covid-19-excess-deaths-morbidity-sage-48.pdf</w:t>
        </w:r>
      </w:hyperlink>
      <w:r>
        <w:t xml:space="preserve"> </w:t>
      </w:r>
      <w:r w:rsidRPr="00EA547E">
        <w:t xml:space="preserve">  </w:t>
      </w:r>
      <w:r>
        <w:t xml:space="preserve"> </w:t>
      </w:r>
    </w:p>
  </w:endnote>
  <w:endnote w:id="12">
    <w:p w14:paraId="23E0618A" w14:textId="057DC689" w:rsidR="002D673C" w:rsidRDefault="002D673C">
      <w:pPr>
        <w:pStyle w:val="EndnoteText"/>
      </w:pPr>
      <w:r>
        <w:rPr>
          <w:rStyle w:val="EndnoteReference"/>
        </w:rPr>
        <w:endnoteRef/>
      </w:r>
      <w:r>
        <w:t xml:space="preserve"> </w:t>
      </w:r>
      <w:r w:rsidR="0023651A">
        <w:t>Legislation.</w:t>
      </w:r>
      <w:r w:rsidR="00F46986">
        <w:t>gov.uk. (2010)</w:t>
      </w:r>
      <w:r w:rsidR="00F46986" w:rsidRPr="00F46986">
        <w:t xml:space="preserve"> Equality Act 2010</w:t>
      </w:r>
      <w:r w:rsidR="00F46986">
        <w:t xml:space="preserve"> – Chapter 2</w:t>
      </w:r>
      <w:r w:rsidR="00897E0C">
        <w:t xml:space="preserve"> </w:t>
      </w:r>
      <w:r w:rsidR="00897E0C" w:rsidRPr="00897E0C">
        <w:t>Adjustments for disabled persons</w:t>
      </w:r>
      <w:r w:rsidR="00F46986">
        <w:t>, Section 20</w:t>
      </w:r>
      <w:r w:rsidR="00897E0C">
        <w:t xml:space="preserve">. Accessed: </w:t>
      </w:r>
      <w:hyperlink r:id="rId6" w:history="1">
        <w:r w:rsidR="00897E0C" w:rsidRPr="006A591E">
          <w:rPr>
            <w:rStyle w:val="Hyperlink"/>
          </w:rPr>
          <w:t>https://www.legislation.gov.uk/ukpga/2010/15/section/20</w:t>
        </w:r>
      </w:hyperlink>
      <w:r w:rsidR="00897E0C">
        <w:t xml:space="preserve"> </w:t>
      </w:r>
    </w:p>
  </w:endnote>
  <w:endnote w:id="13">
    <w:p w14:paraId="31616D81" w14:textId="593E9AF0" w:rsidR="00666D67" w:rsidRDefault="00666D67">
      <w:pPr>
        <w:pStyle w:val="EndnoteText"/>
      </w:pPr>
      <w:r>
        <w:rPr>
          <w:rStyle w:val="EndnoteReference"/>
        </w:rPr>
        <w:endnoteRef/>
      </w:r>
      <w:r>
        <w:t xml:space="preserve"> </w:t>
      </w:r>
      <w:r w:rsidRPr="00666D67">
        <w:t>Versus Arthritis (2019). Summary of Working with arthritis 2018 survey</w:t>
      </w:r>
      <w:r w:rsidR="00565767">
        <w:t xml:space="preserve"> results</w:t>
      </w:r>
      <w:r>
        <w:t xml:space="preserve"> (</w:t>
      </w:r>
      <w:r w:rsidR="00565767">
        <w:t>unpublished</w:t>
      </w:r>
      <w:r>
        <w:t>)</w:t>
      </w:r>
    </w:p>
  </w:endnote>
  <w:endnote w:id="14">
    <w:p w14:paraId="21ABD8D4" w14:textId="16C1828C" w:rsidR="006964AC" w:rsidRDefault="006964AC">
      <w:pPr>
        <w:pStyle w:val="EndnoteText"/>
      </w:pPr>
      <w:r>
        <w:rPr>
          <w:rStyle w:val="EndnoteReference"/>
        </w:rPr>
        <w:endnoteRef/>
      </w:r>
      <w:r>
        <w:t xml:space="preserve"> </w:t>
      </w:r>
      <w:r w:rsidRPr="00666D67">
        <w:t xml:space="preserve">Versus Arthritis </w:t>
      </w:r>
      <w:r w:rsidRPr="006964AC">
        <w:t>(2017). Green Paper - Work Matters to Me Stories.</w:t>
      </w:r>
    </w:p>
  </w:endnote>
  <w:endnote w:id="15">
    <w:p w14:paraId="30A15E49" w14:textId="780461C2" w:rsidR="00320069" w:rsidRDefault="00320069">
      <w:pPr>
        <w:pStyle w:val="EndnoteText"/>
      </w:pPr>
      <w:r>
        <w:rPr>
          <w:rStyle w:val="EndnoteReference"/>
        </w:rPr>
        <w:endnoteRef/>
      </w:r>
      <w:r>
        <w:t xml:space="preserve"> Versus Arthritis (2020). Unmet Needs of People with </w:t>
      </w:r>
      <w:r w:rsidR="00512555">
        <w:t>Arthritis survey research (unpublished)</w:t>
      </w:r>
      <w:r>
        <w:t xml:space="preserve"> </w:t>
      </w:r>
    </w:p>
  </w:endnote>
  <w:endnote w:id="16">
    <w:p w14:paraId="25637EFF" w14:textId="35564E4C" w:rsidR="00CC0491" w:rsidRDefault="00CC0491">
      <w:pPr>
        <w:pStyle w:val="EndnoteText"/>
      </w:pPr>
      <w:r>
        <w:rPr>
          <w:rStyle w:val="EndnoteReference"/>
        </w:rPr>
        <w:endnoteRef/>
      </w:r>
      <w:r>
        <w:t xml:space="preserve"> Versus Arthritis (</w:t>
      </w:r>
      <w:r w:rsidR="00552A07">
        <w:t>2018</w:t>
      </w:r>
      <w:r>
        <w:t>).</w:t>
      </w:r>
      <w:r w:rsidR="00552A07">
        <w:t xml:space="preserve"> </w:t>
      </w:r>
      <w:r w:rsidR="00552A07" w:rsidRPr="00552A07">
        <w:t>Working It Out: Demanding more from the Access to Work scheme</w:t>
      </w:r>
      <w:r w:rsidR="00552A07">
        <w:t xml:space="preserve">. Accessed: </w:t>
      </w:r>
      <w:hyperlink r:id="rId7" w:history="1">
        <w:r w:rsidR="003C47C2" w:rsidRPr="006A591E">
          <w:rPr>
            <w:rStyle w:val="Hyperlink"/>
          </w:rPr>
          <w:t>https://www.versusarthritis.org/media/13466/working-it-out-report.pdf</w:t>
        </w:r>
      </w:hyperlink>
      <w:r w:rsidR="003C47C2">
        <w:t xml:space="preserve"> </w:t>
      </w:r>
    </w:p>
  </w:endnote>
  <w:endnote w:id="17">
    <w:p w14:paraId="549E881B" w14:textId="729143B5" w:rsidR="003C47C2" w:rsidRDefault="003C47C2">
      <w:pPr>
        <w:pStyle w:val="EndnoteText"/>
      </w:pPr>
      <w:r>
        <w:rPr>
          <w:rStyle w:val="EndnoteReference"/>
        </w:rPr>
        <w:endnoteRef/>
      </w:r>
      <w:r>
        <w:t xml:space="preserve"> </w:t>
      </w:r>
      <w:r w:rsidR="009164B2">
        <w:t xml:space="preserve">Disability Unit, </w:t>
      </w:r>
      <w:r w:rsidR="009164B2" w:rsidRPr="009164B2">
        <w:t>Equality Hub, Department for Work and Pensions</w:t>
      </w:r>
      <w:r w:rsidR="009164B2">
        <w:t xml:space="preserve"> (2021). </w:t>
      </w:r>
      <w:r w:rsidR="009164B2" w:rsidRPr="009164B2">
        <w:t>National Disability Strategy</w:t>
      </w:r>
      <w:r w:rsidR="001442DB">
        <w:t xml:space="preserve">. Accessed: </w:t>
      </w:r>
      <w:hyperlink r:id="rId8" w:history="1">
        <w:r w:rsidR="001442DB" w:rsidRPr="006A591E">
          <w:rPr>
            <w:rStyle w:val="Hyperlink"/>
          </w:rPr>
          <w:t>https://www.gov.uk/government/publications/national-disability-strategy</w:t>
        </w:r>
      </w:hyperlink>
      <w:r w:rsidR="001442DB">
        <w:t xml:space="preserve"> </w:t>
      </w:r>
    </w:p>
  </w:endnote>
  <w:endnote w:id="18">
    <w:p w14:paraId="50FB8BFD" w14:textId="1297C5B0" w:rsidR="00934776" w:rsidRDefault="00934776">
      <w:pPr>
        <w:pStyle w:val="EndnoteText"/>
      </w:pPr>
      <w:r>
        <w:rPr>
          <w:rStyle w:val="EndnoteReference"/>
        </w:rPr>
        <w:endnoteRef/>
      </w:r>
      <w:r>
        <w:t xml:space="preserve"> Versus Arthritis (2019). </w:t>
      </w:r>
      <w:r w:rsidR="0014089E">
        <w:t xml:space="preserve">Policy statement: The Access to Work Scheme and musculoskeletal conditions. Accessed: </w:t>
      </w:r>
      <w:hyperlink r:id="rId9" w:history="1">
        <w:r w:rsidR="0014089E" w:rsidRPr="006A591E">
          <w:rPr>
            <w:rStyle w:val="Hyperlink"/>
          </w:rPr>
          <w:t>https://www.versusarthritis.org/media/17430/access-to-work-policy-position-june19.pdf</w:t>
        </w:r>
      </w:hyperlink>
      <w:r w:rsidR="0014089E">
        <w:t xml:space="preserve"> </w:t>
      </w:r>
    </w:p>
  </w:endnote>
  <w:endnote w:id="19">
    <w:p w14:paraId="7935C0D2" w14:textId="731B1EA1" w:rsidR="00DE382D" w:rsidRDefault="00DE382D">
      <w:pPr>
        <w:pStyle w:val="EndnoteText"/>
      </w:pPr>
      <w:r>
        <w:rPr>
          <w:rStyle w:val="EndnoteReference"/>
        </w:rPr>
        <w:endnoteRef/>
      </w:r>
      <w:r>
        <w:t xml:space="preserve"> Sayce L (2011). Getting in, staying in and getting on. Disability employment fit for the future. A review to Government by Liz Sayce. </w:t>
      </w:r>
      <w:r w:rsidR="0098774A">
        <w:t xml:space="preserve">Accessed: </w:t>
      </w:r>
      <w:hyperlink r:id="rId10" w:history="1">
        <w:r w:rsidR="0098774A" w:rsidRPr="006A591E">
          <w:rPr>
            <w:rStyle w:val="Hyperlink"/>
          </w:rPr>
          <w:t>https://assets.publishing.service.gov.uk/government/uploads/system/uploads/attachment_data/file/49779/sayce-report.pdf</w:t>
        </w:r>
      </w:hyperlink>
      <w:r w:rsidR="0098774A">
        <w:t xml:space="preserve"> </w:t>
      </w:r>
    </w:p>
  </w:endnote>
  <w:endnote w:id="20">
    <w:p w14:paraId="58146F43" w14:textId="2D6237CF" w:rsidR="007C79E3" w:rsidRDefault="007C79E3">
      <w:pPr>
        <w:pStyle w:val="EndnoteText"/>
      </w:pPr>
      <w:r>
        <w:rPr>
          <w:rStyle w:val="EndnoteReference"/>
        </w:rPr>
        <w:endnoteRef/>
      </w:r>
      <w:r>
        <w:t xml:space="preserve"> Legislation.gov.uk. (2014). </w:t>
      </w:r>
      <w:r w:rsidRPr="007C79E3">
        <w:t>Care Act 2014</w:t>
      </w:r>
      <w:r w:rsidR="000077F5">
        <w:t xml:space="preserve">. Accessed: </w:t>
      </w:r>
      <w:hyperlink r:id="rId11" w:history="1">
        <w:r w:rsidR="000077F5" w:rsidRPr="006A591E">
          <w:rPr>
            <w:rStyle w:val="Hyperlink"/>
          </w:rPr>
          <w:t>https://www.legislation.gov.uk/ukpga/2014/23/contents/enacted</w:t>
        </w:r>
      </w:hyperlink>
      <w:r w:rsidR="000077F5">
        <w:t xml:space="preserve"> </w:t>
      </w:r>
    </w:p>
  </w:endnote>
  <w:endnote w:id="21">
    <w:p w14:paraId="07368002" w14:textId="52F79765" w:rsidR="00956538" w:rsidRDefault="00956538" w:rsidP="0022653C">
      <w:pPr>
        <w:pStyle w:val="EndnoteText"/>
      </w:pPr>
      <w:r>
        <w:rPr>
          <w:rStyle w:val="EndnoteReference"/>
        </w:rPr>
        <w:endnoteRef/>
      </w:r>
      <w:r>
        <w:t xml:space="preserve"> Department of Health and Social Care (2021). </w:t>
      </w:r>
      <w:r w:rsidR="0022653C" w:rsidRPr="0022653C">
        <w:t>Care Act 2014: supporting implementation</w:t>
      </w:r>
      <w:r w:rsidR="0022653C">
        <w:t xml:space="preserve"> - Statutory guidance, Care and support statutory guidance. Accessed:</w:t>
      </w:r>
      <w:r w:rsidR="0022653C" w:rsidRPr="0022653C">
        <w:t xml:space="preserve"> </w:t>
      </w:r>
      <w:hyperlink r:id="rId12" w:history="1">
        <w:r w:rsidR="0022653C" w:rsidRPr="006A591E">
          <w:rPr>
            <w:rStyle w:val="Hyperlink"/>
          </w:rPr>
          <w:t>https://www.gov.uk/government/publications/care-act-statutory-guidance/care-and-support-statutory-guidance</w:t>
        </w:r>
      </w:hyperlink>
      <w:r w:rsidR="0022653C">
        <w:t xml:space="preserve"> </w:t>
      </w:r>
    </w:p>
  </w:endnote>
  <w:endnote w:id="22">
    <w:p w14:paraId="5B4F24FC" w14:textId="2DC3F1E5" w:rsidR="004602CA" w:rsidRDefault="004602CA">
      <w:pPr>
        <w:pStyle w:val="EndnoteText"/>
      </w:pPr>
      <w:r>
        <w:rPr>
          <w:rStyle w:val="EndnoteReference"/>
        </w:rPr>
        <w:endnoteRef/>
      </w:r>
      <w:r>
        <w:t xml:space="preserve"> Versus Arthritis (2019). Adapted homes, empowered lives. Accessed: </w:t>
      </w:r>
      <w:hyperlink r:id="rId13" w:history="1">
        <w:r w:rsidRPr="006A591E">
          <w:rPr>
            <w:rStyle w:val="Hyperlink"/>
          </w:rPr>
          <w:t>https://www.versusarthritis.org/media/21554/adapted-homes-empowered-lives-report-2019.pdf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719149"/>
      <w:docPartObj>
        <w:docPartGallery w:val="Page Numbers (Bottom of Page)"/>
        <w:docPartUnique/>
      </w:docPartObj>
    </w:sdtPr>
    <w:sdtEndPr>
      <w:rPr>
        <w:noProof/>
      </w:rPr>
    </w:sdtEndPr>
    <w:sdtContent>
      <w:p w14:paraId="36734E1A" w14:textId="7C5B2915" w:rsidR="00B067C5" w:rsidRDefault="00B067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D0F187" w14:textId="77777777" w:rsidR="00B067C5" w:rsidRDefault="00B06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65D39" w14:textId="77777777" w:rsidR="00A94519" w:rsidRDefault="00A94519" w:rsidP="00B067C5">
      <w:pPr>
        <w:spacing w:after="0" w:line="240" w:lineRule="auto"/>
      </w:pPr>
      <w:r>
        <w:separator/>
      </w:r>
    </w:p>
  </w:footnote>
  <w:footnote w:type="continuationSeparator" w:id="0">
    <w:p w14:paraId="03275732" w14:textId="77777777" w:rsidR="00A94519" w:rsidRDefault="00A94519" w:rsidP="00B067C5">
      <w:pPr>
        <w:spacing w:after="0" w:line="240" w:lineRule="auto"/>
      </w:pPr>
      <w:r>
        <w:continuationSeparator/>
      </w:r>
    </w:p>
  </w:footnote>
  <w:footnote w:type="continuationNotice" w:id="1">
    <w:p w14:paraId="603E3179" w14:textId="77777777" w:rsidR="00A94519" w:rsidRDefault="00A945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282"/>
    <w:multiLevelType w:val="hybridMultilevel"/>
    <w:tmpl w:val="2DB01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1A1D55"/>
    <w:multiLevelType w:val="hybridMultilevel"/>
    <w:tmpl w:val="F558D840"/>
    <w:lvl w:ilvl="0" w:tplc="78DACD1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74096"/>
    <w:multiLevelType w:val="hybridMultilevel"/>
    <w:tmpl w:val="DE701FFE"/>
    <w:lvl w:ilvl="0" w:tplc="78DACD1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B867F3"/>
    <w:multiLevelType w:val="hybridMultilevel"/>
    <w:tmpl w:val="5240E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492EEA"/>
    <w:multiLevelType w:val="hybridMultilevel"/>
    <w:tmpl w:val="E4A4F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7442D"/>
    <w:multiLevelType w:val="hybridMultilevel"/>
    <w:tmpl w:val="7E109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44D32336"/>
    <w:multiLevelType w:val="hybridMultilevel"/>
    <w:tmpl w:val="01D23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A565A2"/>
    <w:multiLevelType w:val="hybridMultilevel"/>
    <w:tmpl w:val="701AF6DE"/>
    <w:lvl w:ilvl="0" w:tplc="78DACD1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2452D56"/>
    <w:multiLevelType w:val="hybridMultilevel"/>
    <w:tmpl w:val="3E2C97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09"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2AC1E55"/>
    <w:multiLevelType w:val="hybridMultilevel"/>
    <w:tmpl w:val="F2320878"/>
    <w:lvl w:ilvl="0" w:tplc="0809000F">
      <w:start w:val="1"/>
      <w:numFmt w:val="decimal"/>
      <w:lvlText w:val="%1."/>
      <w:lvlJc w:val="left"/>
      <w:pPr>
        <w:ind w:left="360" w:hanging="360"/>
      </w:pPr>
    </w:lvl>
    <w:lvl w:ilvl="1" w:tplc="08090001">
      <w:start w:val="1"/>
      <w:numFmt w:val="bullet"/>
      <w:lvlText w:val=""/>
      <w:lvlJc w:val="left"/>
      <w:pPr>
        <w:ind w:left="786"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35A06C0"/>
    <w:multiLevelType w:val="hybridMultilevel"/>
    <w:tmpl w:val="4B881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7"/>
  </w:num>
  <w:num w:numId="4">
    <w:abstractNumId w:val="1"/>
  </w:num>
  <w:num w:numId="5">
    <w:abstractNumId w:val="2"/>
  </w:num>
  <w:num w:numId="6">
    <w:abstractNumId w:val="10"/>
  </w:num>
  <w:num w:numId="7">
    <w:abstractNumId w:val="3"/>
  </w:num>
  <w:num w:numId="8">
    <w:abstractNumId w:val="8"/>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67"/>
    <w:rsid w:val="00001FA9"/>
    <w:rsid w:val="000077F5"/>
    <w:rsid w:val="000078F0"/>
    <w:rsid w:val="00011294"/>
    <w:rsid w:val="00011F7F"/>
    <w:rsid w:val="00016D18"/>
    <w:rsid w:val="00020A28"/>
    <w:rsid w:val="00023547"/>
    <w:rsid w:val="0002798F"/>
    <w:rsid w:val="00030136"/>
    <w:rsid w:val="00032895"/>
    <w:rsid w:val="000355B1"/>
    <w:rsid w:val="000359F2"/>
    <w:rsid w:val="000424F3"/>
    <w:rsid w:val="0005034E"/>
    <w:rsid w:val="000628E0"/>
    <w:rsid w:val="00083B65"/>
    <w:rsid w:val="00097D76"/>
    <w:rsid w:val="000A092E"/>
    <w:rsid w:val="000A1561"/>
    <w:rsid w:val="000A5402"/>
    <w:rsid w:val="000B023A"/>
    <w:rsid w:val="000C7282"/>
    <w:rsid w:val="000D228D"/>
    <w:rsid w:val="000E4A44"/>
    <w:rsid w:val="000E7AD4"/>
    <w:rsid w:val="000F2BDC"/>
    <w:rsid w:val="00102682"/>
    <w:rsid w:val="00102AC2"/>
    <w:rsid w:val="001035FC"/>
    <w:rsid w:val="00107754"/>
    <w:rsid w:val="00107CCD"/>
    <w:rsid w:val="00110B23"/>
    <w:rsid w:val="00112A1E"/>
    <w:rsid w:val="00116F33"/>
    <w:rsid w:val="0012267D"/>
    <w:rsid w:val="00122CD5"/>
    <w:rsid w:val="001304D6"/>
    <w:rsid w:val="001305A5"/>
    <w:rsid w:val="00131D2C"/>
    <w:rsid w:val="00136620"/>
    <w:rsid w:val="00140289"/>
    <w:rsid w:val="0014089E"/>
    <w:rsid w:val="001442DB"/>
    <w:rsid w:val="00155738"/>
    <w:rsid w:val="0015593D"/>
    <w:rsid w:val="001701DF"/>
    <w:rsid w:val="00172254"/>
    <w:rsid w:val="001722A4"/>
    <w:rsid w:val="00173476"/>
    <w:rsid w:val="00173745"/>
    <w:rsid w:val="00176B29"/>
    <w:rsid w:val="001865B2"/>
    <w:rsid w:val="00187495"/>
    <w:rsid w:val="001919BA"/>
    <w:rsid w:val="001924D9"/>
    <w:rsid w:val="001A1A6A"/>
    <w:rsid w:val="001B61E7"/>
    <w:rsid w:val="001E3FFA"/>
    <w:rsid w:val="001E492E"/>
    <w:rsid w:val="001E5F10"/>
    <w:rsid w:val="001F014B"/>
    <w:rsid w:val="001F6009"/>
    <w:rsid w:val="00205816"/>
    <w:rsid w:val="0022653C"/>
    <w:rsid w:val="002310F1"/>
    <w:rsid w:val="0023651A"/>
    <w:rsid w:val="002438BA"/>
    <w:rsid w:val="00243B0F"/>
    <w:rsid w:val="00247235"/>
    <w:rsid w:val="00247534"/>
    <w:rsid w:val="00251792"/>
    <w:rsid w:val="00255655"/>
    <w:rsid w:val="0026190E"/>
    <w:rsid w:val="00265AEC"/>
    <w:rsid w:val="002735DF"/>
    <w:rsid w:val="00277B7D"/>
    <w:rsid w:val="00280F43"/>
    <w:rsid w:val="0028466D"/>
    <w:rsid w:val="0028567E"/>
    <w:rsid w:val="00286A4A"/>
    <w:rsid w:val="002872A3"/>
    <w:rsid w:val="00292E5E"/>
    <w:rsid w:val="002A3663"/>
    <w:rsid w:val="002C04EC"/>
    <w:rsid w:val="002D2851"/>
    <w:rsid w:val="002D39DD"/>
    <w:rsid w:val="002D673C"/>
    <w:rsid w:val="002D7702"/>
    <w:rsid w:val="002E2C10"/>
    <w:rsid w:val="002F1DF8"/>
    <w:rsid w:val="0030355C"/>
    <w:rsid w:val="00307A35"/>
    <w:rsid w:val="0031249A"/>
    <w:rsid w:val="00313760"/>
    <w:rsid w:val="00315C3B"/>
    <w:rsid w:val="00315D83"/>
    <w:rsid w:val="00320069"/>
    <w:rsid w:val="0032333B"/>
    <w:rsid w:val="00333F00"/>
    <w:rsid w:val="00333FB3"/>
    <w:rsid w:val="003419BD"/>
    <w:rsid w:val="00350F19"/>
    <w:rsid w:val="00356A46"/>
    <w:rsid w:val="003627B0"/>
    <w:rsid w:val="00364D05"/>
    <w:rsid w:val="00371F33"/>
    <w:rsid w:val="00376972"/>
    <w:rsid w:val="003A05C7"/>
    <w:rsid w:val="003A1634"/>
    <w:rsid w:val="003A2018"/>
    <w:rsid w:val="003A58F0"/>
    <w:rsid w:val="003A6B2E"/>
    <w:rsid w:val="003B4944"/>
    <w:rsid w:val="003C3419"/>
    <w:rsid w:val="003C437C"/>
    <w:rsid w:val="003C47C2"/>
    <w:rsid w:val="003C6025"/>
    <w:rsid w:val="003D26A0"/>
    <w:rsid w:val="003D6BAB"/>
    <w:rsid w:val="003E47DB"/>
    <w:rsid w:val="003E7412"/>
    <w:rsid w:val="003F05B0"/>
    <w:rsid w:val="003F31D9"/>
    <w:rsid w:val="003F433C"/>
    <w:rsid w:val="00400ACD"/>
    <w:rsid w:val="00401118"/>
    <w:rsid w:val="0040257C"/>
    <w:rsid w:val="00403226"/>
    <w:rsid w:val="0040698A"/>
    <w:rsid w:val="00415B59"/>
    <w:rsid w:val="00421998"/>
    <w:rsid w:val="00430E85"/>
    <w:rsid w:val="0045382D"/>
    <w:rsid w:val="00454EAB"/>
    <w:rsid w:val="004602CA"/>
    <w:rsid w:val="0046185D"/>
    <w:rsid w:val="00465063"/>
    <w:rsid w:val="00466957"/>
    <w:rsid w:val="004721EB"/>
    <w:rsid w:val="00480C54"/>
    <w:rsid w:val="00481315"/>
    <w:rsid w:val="00484148"/>
    <w:rsid w:val="004843B4"/>
    <w:rsid w:val="004859B3"/>
    <w:rsid w:val="00490404"/>
    <w:rsid w:val="004908EB"/>
    <w:rsid w:val="004950FE"/>
    <w:rsid w:val="004A474E"/>
    <w:rsid w:val="004C0A3C"/>
    <w:rsid w:val="004C0B25"/>
    <w:rsid w:val="004C38F0"/>
    <w:rsid w:val="004C416D"/>
    <w:rsid w:val="004C5EC4"/>
    <w:rsid w:val="004C73B3"/>
    <w:rsid w:val="004D3343"/>
    <w:rsid w:val="004D36E6"/>
    <w:rsid w:val="004E00AC"/>
    <w:rsid w:val="004E259C"/>
    <w:rsid w:val="00510484"/>
    <w:rsid w:val="00512555"/>
    <w:rsid w:val="0051307A"/>
    <w:rsid w:val="00513826"/>
    <w:rsid w:val="00514947"/>
    <w:rsid w:val="00521801"/>
    <w:rsid w:val="00526730"/>
    <w:rsid w:val="005420BE"/>
    <w:rsid w:val="00544157"/>
    <w:rsid w:val="00546214"/>
    <w:rsid w:val="00552A07"/>
    <w:rsid w:val="00560272"/>
    <w:rsid w:val="00565767"/>
    <w:rsid w:val="00570257"/>
    <w:rsid w:val="005720AD"/>
    <w:rsid w:val="005749B6"/>
    <w:rsid w:val="00574D00"/>
    <w:rsid w:val="005750ED"/>
    <w:rsid w:val="00591AE5"/>
    <w:rsid w:val="005A00F0"/>
    <w:rsid w:val="005A6524"/>
    <w:rsid w:val="005B031D"/>
    <w:rsid w:val="005B478B"/>
    <w:rsid w:val="005B5181"/>
    <w:rsid w:val="005B7512"/>
    <w:rsid w:val="005C55F3"/>
    <w:rsid w:val="005D0B01"/>
    <w:rsid w:val="005D3AB6"/>
    <w:rsid w:val="005E08C9"/>
    <w:rsid w:val="005E1273"/>
    <w:rsid w:val="005E65C4"/>
    <w:rsid w:val="005F7337"/>
    <w:rsid w:val="00605844"/>
    <w:rsid w:val="00606C07"/>
    <w:rsid w:val="006171E8"/>
    <w:rsid w:val="00622065"/>
    <w:rsid w:val="00622701"/>
    <w:rsid w:val="0062389D"/>
    <w:rsid w:val="00624649"/>
    <w:rsid w:val="00635D3D"/>
    <w:rsid w:val="00640EE8"/>
    <w:rsid w:val="00654C53"/>
    <w:rsid w:val="0066056E"/>
    <w:rsid w:val="00666D67"/>
    <w:rsid w:val="006741D0"/>
    <w:rsid w:val="006964AC"/>
    <w:rsid w:val="006A1308"/>
    <w:rsid w:val="006B23B5"/>
    <w:rsid w:val="006B2808"/>
    <w:rsid w:val="006B4DD8"/>
    <w:rsid w:val="006B5E34"/>
    <w:rsid w:val="006B731B"/>
    <w:rsid w:val="006B7B7A"/>
    <w:rsid w:val="006C1F78"/>
    <w:rsid w:val="006C355E"/>
    <w:rsid w:val="006C65AD"/>
    <w:rsid w:val="006C6F32"/>
    <w:rsid w:val="006D4371"/>
    <w:rsid w:val="006E7A2B"/>
    <w:rsid w:val="006F4AEF"/>
    <w:rsid w:val="006F7221"/>
    <w:rsid w:val="00711B92"/>
    <w:rsid w:val="00713C60"/>
    <w:rsid w:val="00714AB5"/>
    <w:rsid w:val="00724C94"/>
    <w:rsid w:val="007347E2"/>
    <w:rsid w:val="00754B30"/>
    <w:rsid w:val="007560F6"/>
    <w:rsid w:val="00765BB9"/>
    <w:rsid w:val="00774850"/>
    <w:rsid w:val="0077558C"/>
    <w:rsid w:val="00780B2E"/>
    <w:rsid w:val="00780DFA"/>
    <w:rsid w:val="00781874"/>
    <w:rsid w:val="00782D28"/>
    <w:rsid w:val="00782D9F"/>
    <w:rsid w:val="00783631"/>
    <w:rsid w:val="007855C2"/>
    <w:rsid w:val="00790559"/>
    <w:rsid w:val="00791A54"/>
    <w:rsid w:val="00795635"/>
    <w:rsid w:val="007A1E31"/>
    <w:rsid w:val="007A303E"/>
    <w:rsid w:val="007C1463"/>
    <w:rsid w:val="007C24F3"/>
    <w:rsid w:val="007C279C"/>
    <w:rsid w:val="007C5C70"/>
    <w:rsid w:val="007C670D"/>
    <w:rsid w:val="007C79E3"/>
    <w:rsid w:val="007D6F0A"/>
    <w:rsid w:val="007F3C85"/>
    <w:rsid w:val="007F7D8E"/>
    <w:rsid w:val="00804450"/>
    <w:rsid w:val="008051DC"/>
    <w:rsid w:val="008055A3"/>
    <w:rsid w:val="00805885"/>
    <w:rsid w:val="00812D32"/>
    <w:rsid w:val="00814E12"/>
    <w:rsid w:val="008169FE"/>
    <w:rsid w:val="008213A3"/>
    <w:rsid w:val="00824D46"/>
    <w:rsid w:val="0083049A"/>
    <w:rsid w:val="00843588"/>
    <w:rsid w:val="0084371C"/>
    <w:rsid w:val="00846CCF"/>
    <w:rsid w:val="00851919"/>
    <w:rsid w:val="00866563"/>
    <w:rsid w:val="008751FF"/>
    <w:rsid w:val="00876403"/>
    <w:rsid w:val="00897E0C"/>
    <w:rsid w:val="008A3D92"/>
    <w:rsid w:val="008C2490"/>
    <w:rsid w:val="008C3C5A"/>
    <w:rsid w:val="00904CE4"/>
    <w:rsid w:val="009066B8"/>
    <w:rsid w:val="009068EA"/>
    <w:rsid w:val="009112E4"/>
    <w:rsid w:val="009164B2"/>
    <w:rsid w:val="009249C6"/>
    <w:rsid w:val="00930211"/>
    <w:rsid w:val="00934776"/>
    <w:rsid w:val="00944AB7"/>
    <w:rsid w:val="00950A80"/>
    <w:rsid w:val="00956538"/>
    <w:rsid w:val="00962030"/>
    <w:rsid w:val="00964828"/>
    <w:rsid w:val="00971908"/>
    <w:rsid w:val="0097425A"/>
    <w:rsid w:val="00975CA8"/>
    <w:rsid w:val="0098774A"/>
    <w:rsid w:val="009B16AD"/>
    <w:rsid w:val="009C0A8A"/>
    <w:rsid w:val="009C23FE"/>
    <w:rsid w:val="009C6B11"/>
    <w:rsid w:val="009D639C"/>
    <w:rsid w:val="009E268B"/>
    <w:rsid w:val="009E563B"/>
    <w:rsid w:val="009F1FAD"/>
    <w:rsid w:val="009F3853"/>
    <w:rsid w:val="00A04EEE"/>
    <w:rsid w:val="00A07B73"/>
    <w:rsid w:val="00A166D1"/>
    <w:rsid w:val="00A23709"/>
    <w:rsid w:val="00A25143"/>
    <w:rsid w:val="00A254C1"/>
    <w:rsid w:val="00A26CC8"/>
    <w:rsid w:val="00A3266A"/>
    <w:rsid w:val="00A40367"/>
    <w:rsid w:val="00A472D7"/>
    <w:rsid w:val="00A52AB5"/>
    <w:rsid w:val="00A65C56"/>
    <w:rsid w:val="00A71867"/>
    <w:rsid w:val="00A74405"/>
    <w:rsid w:val="00A84743"/>
    <w:rsid w:val="00A933F5"/>
    <w:rsid w:val="00A93421"/>
    <w:rsid w:val="00A94519"/>
    <w:rsid w:val="00A9586C"/>
    <w:rsid w:val="00AA5ACF"/>
    <w:rsid w:val="00AB1EC6"/>
    <w:rsid w:val="00AB3011"/>
    <w:rsid w:val="00AB30B9"/>
    <w:rsid w:val="00AB3545"/>
    <w:rsid w:val="00AB65D4"/>
    <w:rsid w:val="00AB7FEF"/>
    <w:rsid w:val="00AC73BD"/>
    <w:rsid w:val="00AD1C3D"/>
    <w:rsid w:val="00AD2984"/>
    <w:rsid w:val="00AE4B19"/>
    <w:rsid w:val="00AF3A93"/>
    <w:rsid w:val="00B01F04"/>
    <w:rsid w:val="00B01FAA"/>
    <w:rsid w:val="00B0505D"/>
    <w:rsid w:val="00B067C5"/>
    <w:rsid w:val="00B070E6"/>
    <w:rsid w:val="00B209A9"/>
    <w:rsid w:val="00B20A3A"/>
    <w:rsid w:val="00B22854"/>
    <w:rsid w:val="00B32F2D"/>
    <w:rsid w:val="00B34E9B"/>
    <w:rsid w:val="00B4292A"/>
    <w:rsid w:val="00B43847"/>
    <w:rsid w:val="00B44CDC"/>
    <w:rsid w:val="00B57B13"/>
    <w:rsid w:val="00B6138D"/>
    <w:rsid w:val="00B75D06"/>
    <w:rsid w:val="00B77361"/>
    <w:rsid w:val="00BA1AF7"/>
    <w:rsid w:val="00BA2807"/>
    <w:rsid w:val="00BA5AE5"/>
    <w:rsid w:val="00BB0637"/>
    <w:rsid w:val="00BB1A75"/>
    <w:rsid w:val="00BC0B57"/>
    <w:rsid w:val="00BE3AE5"/>
    <w:rsid w:val="00BF2D49"/>
    <w:rsid w:val="00BF7FC3"/>
    <w:rsid w:val="00C020A7"/>
    <w:rsid w:val="00C036D7"/>
    <w:rsid w:val="00C04480"/>
    <w:rsid w:val="00C128A0"/>
    <w:rsid w:val="00C344CD"/>
    <w:rsid w:val="00C42379"/>
    <w:rsid w:val="00C45999"/>
    <w:rsid w:val="00C467E8"/>
    <w:rsid w:val="00C67BBC"/>
    <w:rsid w:val="00C7429E"/>
    <w:rsid w:val="00C76C15"/>
    <w:rsid w:val="00C774CA"/>
    <w:rsid w:val="00C83F8C"/>
    <w:rsid w:val="00C907F9"/>
    <w:rsid w:val="00C91BB2"/>
    <w:rsid w:val="00C91EF8"/>
    <w:rsid w:val="00C97329"/>
    <w:rsid w:val="00CA13C0"/>
    <w:rsid w:val="00CB2521"/>
    <w:rsid w:val="00CB2899"/>
    <w:rsid w:val="00CC0417"/>
    <w:rsid w:val="00CC0491"/>
    <w:rsid w:val="00CC51DA"/>
    <w:rsid w:val="00CC5CCC"/>
    <w:rsid w:val="00CE10A1"/>
    <w:rsid w:val="00CE27DA"/>
    <w:rsid w:val="00CF34C9"/>
    <w:rsid w:val="00D00D6D"/>
    <w:rsid w:val="00D0249F"/>
    <w:rsid w:val="00D05923"/>
    <w:rsid w:val="00D075DF"/>
    <w:rsid w:val="00D11B48"/>
    <w:rsid w:val="00D11D04"/>
    <w:rsid w:val="00D27BE8"/>
    <w:rsid w:val="00D31844"/>
    <w:rsid w:val="00D37A8A"/>
    <w:rsid w:val="00D46111"/>
    <w:rsid w:val="00D47EBB"/>
    <w:rsid w:val="00D622DA"/>
    <w:rsid w:val="00D72037"/>
    <w:rsid w:val="00D777C0"/>
    <w:rsid w:val="00D841D7"/>
    <w:rsid w:val="00D84F5E"/>
    <w:rsid w:val="00D87C15"/>
    <w:rsid w:val="00D91121"/>
    <w:rsid w:val="00D91E0F"/>
    <w:rsid w:val="00D94B1B"/>
    <w:rsid w:val="00D962B7"/>
    <w:rsid w:val="00DA36A5"/>
    <w:rsid w:val="00DA4C99"/>
    <w:rsid w:val="00DA537A"/>
    <w:rsid w:val="00DB0D1E"/>
    <w:rsid w:val="00DE2981"/>
    <w:rsid w:val="00DE382D"/>
    <w:rsid w:val="00E00EC4"/>
    <w:rsid w:val="00E039A8"/>
    <w:rsid w:val="00E14E15"/>
    <w:rsid w:val="00E15AC5"/>
    <w:rsid w:val="00E206DA"/>
    <w:rsid w:val="00E26481"/>
    <w:rsid w:val="00E35D70"/>
    <w:rsid w:val="00E45A2E"/>
    <w:rsid w:val="00E541F8"/>
    <w:rsid w:val="00E578E7"/>
    <w:rsid w:val="00E62E3F"/>
    <w:rsid w:val="00E65679"/>
    <w:rsid w:val="00E7488B"/>
    <w:rsid w:val="00E75F7A"/>
    <w:rsid w:val="00E82F69"/>
    <w:rsid w:val="00E84003"/>
    <w:rsid w:val="00E86D62"/>
    <w:rsid w:val="00E90C64"/>
    <w:rsid w:val="00E96A06"/>
    <w:rsid w:val="00E972B9"/>
    <w:rsid w:val="00EA329C"/>
    <w:rsid w:val="00EA547E"/>
    <w:rsid w:val="00EA6DC2"/>
    <w:rsid w:val="00EB3AEA"/>
    <w:rsid w:val="00EB60AB"/>
    <w:rsid w:val="00EC17F5"/>
    <w:rsid w:val="00ED0BF7"/>
    <w:rsid w:val="00ED2D8F"/>
    <w:rsid w:val="00ED7B9D"/>
    <w:rsid w:val="00EE1F14"/>
    <w:rsid w:val="00EE3EC4"/>
    <w:rsid w:val="00EE4B5B"/>
    <w:rsid w:val="00EF67CD"/>
    <w:rsid w:val="00F02E09"/>
    <w:rsid w:val="00F154B9"/>
    <w:rsid w:val="00F159DA"/>
    <w:rsid w:val="00F162FF"/>
    <w:rsid w:val="00F221D5"/>
    <w:rsid w:val="00F2249B"/>
    <w:rsid w:val="00F324E0"/>
    <w:rsid w:val="00F36F00"/>
    <w:rsid w:val="00F44DC4"/>
    <w:rsid w:val="00F46986"/>
    <w:rsid w:val="00F47C3C"/>
    <w:rsid w:val="00F60188"/>
    <w:rsid w:val="00F63099"/>
    <w:rsid w:val="00F67B30"/>
    <w:rsid w:val="00F83C98"/>
    <w:rsid w:val="00F87AD2"/>
    <w:rsid w:val="00F957EA"/>
    <w:rsid w:val="00FA3B6E"/>
    <w:rsid w:val="00FA66F2"/>
    <w:rsid w:val="00FC4654"/>
    <w:rsid w:val="00FD0D0C"/>
    <w:rsid w:val="00FD1517"/>
    <w:rsid w:val="00FD2C8A"/>
    <w:rsid w:val="00FD519F"/>
    <w:rsid w:val="00FE0CD7"/>
    <w:rsid w:val="00FE23D4"/>
    <w:rsid w:val="00FE3FEE"/>
    <w:rsid w:val="00FE4E38"/>
    <w:rsid w:val="00FE50B7"/>
    <w:rsid w:val="02A98984"/>
    <w:rsid w:val="0925FAAD"/>
    <w:rsid w:val="0D90263B"/>
    <w:rsid w:val="1751CFE3"/>
    <w:rsid w:val="2452304B"/>
    <w:rsid w:val="2863D526"/>
    <w:rsid w:val="293F390A"/>
    <w:rsid w:val="308B4033"/>
    <w:rsid w:val="30E23C42"/>
    <w:rsid w:val="35AE2581"/>
    <w:rsid w:val="37BB820A"/>
    <w:rsid w:val="3F48F6F4"/>
    <w:rsid w:val="43AEC9C4"/>
    <w:rsid w:val="47B7E9A1"/>
    <w:rsid w:val="4B4D440D"/>
    <w:rsid w:val="4D39D3F7"/>
    <w:rsid w:val="4E6B25F5"/>
    <w:rsid w:val="51423FEE"/>
    <w:rsid w:val="53C073E5"/>
    <w:rsid w:val="53E9343C"/>
    <w:rsid w:val="56211DF2"/>
    <w:rsid w:val="5E75EDDB"/>
    <w:rsid w:val="5EEA9E8A"/>
    <w:rsid w:val="5FA75C71"/>
    <w:rsid w:val="664893A5"/>
    <w:rsid w:val="6859211D"/>
    <w:rsid w:val="685CE43C"/>
    <w:rsid w:val="69D242E0"/>
    <w:rsid w:val="70E6CF4B"/>
    <w:rsid w:val="7D6A8D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C34A"/>
  <w15:chartTrackingRefBased/>
  <w15:docId w15:val="{E00FD899-FEDE-4BD4-9525-75D9F323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036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Bullet Style,Bulleted list,Dot pt,No Spacing1,List Paragraph Char Char Char,Indicator Text,List Paragraph1,F5 List Paragraph,Numbered Para 1,Bullet Points,MAIN CONTENT,Bullet 1,List Paragraph12,Colorful List - Accent 11,Normal numbered"/>
    <w:basedOn w:val="Normal"/>
    <w:link w:val="ListParagraphChar"/>
    <w:uiPriority w:val="34"/>
    <w:qFormat/>
    <w:rsid w:val="008055A3"/>
    <w:pPr>
      <w:ind w:left="720"/>
      <w:contextualSpacing/>
    </w:pPr>
  </w:style>
  <w:style w:type="character" w:customStyle="1" w:styleId="ListParagraphChar">
    <w:name w:val="List Paragraph Char"/>
    <w:aliases w:val="Bullet Style Char,Bulleted list Char,Dot pt Char,No Spacing1 Char,List Paragraph Char Char Char Char,Indicator Text Char,List Paragraph1 Char,F5 List Paragraph Char,Numbered Para 1 Char,Bullet Points Char,MAIN CONTENT Char"/>
    <w:basedOn w:val="DefaultParagraphFont"/>
    <w:link w:val="ListParagraph"/>
    <w:uiPriority w:val="34"/>
    <w:qFormat/>
    <w:rsid w:val="00FE3FEE"/>
  </w:style>
  <w:style w:type="character" w:styleId="CommentReference">
    <w:name w:val="annotation reference"/>
    <w:basedOn w:val="DefaultParagraphFont"/>
    <w:uiPriority w:val="99"/>
    <w:semiHidden/>
    <w:unhideWhenUsed/>
    <w:rsid w:val="00E14E15"/>
    <w:rPr>
      <w:sz w:val="16"/>
      <w:szCs w:val="16"/>
    </w:rPr>
  </w:style>
  <w:style w:type="paragraph" w:styleId="CommentText">
    <w:name w:val="annotation text"/>
    <w:basedOn w:val="Normal"/>
    <w:link w:val="CommentTextChar"/>
    <w:uiPriority w:val="99"/>
    <w:semiHidden/>
    <w:unhideWhenUsed/>
    <w:rsid w:val="00E14E15"/>
    <w:pPr>
      <w:spacing w:line="240" w:lineRule="auto"/>
    </w:pPr>
    <w:rPr>
      <w:sz w:val="20"/>
      <w:szCs w:val="20"/>
    </w:rPr>
  </w:style>
  <w:style w:type="character" w:customStyle="1" w:styleId="CommentTextChar">
    <w:name w:val="Comment Text Char"/>
    <w:basedOn w:val="DefaultParagraphFont"/>
    <w:link w:val="CommentText"/>
    <w:uiPriority w:val="99"/>
    <w:semiHidden/>
    <w:rsid w:val="00E14E15"/>
    <w:rPr>
      <w:sz w:val="20"/>
      <w:szCs w:val="20"/>
    </w:rPr>
  </w:style>
  <w:style w:type="paragraph" w:styleId="CommentSubject">
    <w:name w:val="annotation subject"/>
    <w:basedOn w:val="CommentText"/>
    <w:next w:val="CommentText"/>
    <w:link w:val="CommentSubjectChar"/>
    <w:uiPriority w:val="99"/>
    <w:semiHidden/>
    <w:unhideWhenUsed/>
    <w:rsid w:val="00E14E15"/>
    <w:rPr>
      <w:b/>
      <w:bCs/>
    </w:rPr>
  </w:style>
  <w:style w:type="character" w:customStyle="1" w:styleId="CommentSubjectChar">
    <w:name w:val="Comment Subject Char"/>
    <w:basedOn w:val="CommentTextChar"/>
    <w:link w:val="CommentSubject"/>
    <w:uiPriority w:val="99"/>
    <w:semiHidden/>
    <w:rsid w:val="00E14E15"/>
    <w:rPr>
      <w:b/>
      <w:bCs/>
      <w:sz w:val="20"/>
      <w:szCs w:val="20"/>
    </w:rPr>
  </w:style>
  <w:style w:type="character" w:styleId="Hyperlink">
    <w:name w:val="Hyperlink"/>
    <w:basedOn w:val="DefaultParagraphFont"/>
    <w:uiPriority w:val="99"/>
    <w:unhideWhenUsed/>
    <w:rsid w:val="007855C2"/>
    <w:rPr>
      <w:color w:val="0563C1" w:themeColor="hyperlink"/>
      <w:u w:val="single"/>
    </w:rPr>
  </w:style>
  <w:style w:type="character" w:styleId="UnresolvedMention">
    <w:name w:val="Unresolved Mention"/>
    <w:basedOn w:val="DefaultParagraphFont"/>
    <w:uiPriority w:val="99"/>
    <w:semiHidden/>
    <w:unhideWhenUsed/>
    <w:rsid w:val="007855C2"/>
    <w:rPr>
      <w:color w:val="605E5C"/>
      <w:shd w:val="clear" w:color="auto" w:fill="E1DFDD"/>
    </w:rPr>
  </w:style>
  <w:style w:type="paragraph" w:styleId="Header">
    <w:name w:val="header"/>
    <w:basedOn w:val="Normal"/>
    <w:link w:val="HeaderChar"/>
    <w:uiPriority w:val="99"/>
    <w:unhideWhenUsed/>
    <w:rsid w:val="00B06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7C5"/>
  </w:style>
  <w:style w:type="paragraph" w:styleId="Footer">
    <w:name w:val="footer"/>
    <w:basedOn w:val="Normal"/>
    <w:link w:val="FooterChar"/>
    <w:uiPriority w:val="99"/>
    <w:unhideWhenUsed/>
    <w:rsid w:val="00B06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7C5"/>
  </w:style>
  <w:style w:type="character" w:styleId="FollowedHyperlink">
    <w:name w:val="FollowedHyperlink"/>
    <w:basedOn w:val="DefaultParagraphFont"/>
    <w:uiPriority w:val="99"/>
    <w:semiHidden/>
    <w:unhideWhenUsed/>
    <w:rsid w:val="00E206DA"/>
    <w:rPr>
      <w:color w:val="954F72" w:themeColor="followedHyperlink"/>
      <w:u w:val="single"/>
    </w:rPr>
  </w:style>
  <w:style w:type="paragraph" w:styleId="EndnoteText">
    <w:name w:val="endnote text"/>
    <w:basedOn w:val="Normal"/>
    <w:link w:val="EndnoteTextChar"/>
    <w:uiPriority w:val="99"/>
    <w:semiHidden/>
    <w:unhideWhenUsed/>
    <w:rsid w:val="001722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2254"/>
    <w:rPr>
      <w:sz w:val="20"/>
      <w:szCs w:val="20"/>
    </w:rPr>
  </w:style>
  <w:style w:type="character" w:styleId="EndnoteReference">
    <w:name w:val="endnote reference"/>
    <w:basedOn w:val="DefaultParagraphFont"/>
    <w:uiPriority w:val="99"/>
    <w:unhideWhenUsed/>
    <w:rsid w:val="001722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1700">
      <w:bodyDiv w:val="1"/>
      <w:marLeft w:val="0"/>
      <w:marRight w:val="0"/>
      <w:marTop w:val="0"/>
      <w:marBottom w:val="0"/>
      <w:divBdr>
        <w:top w:val="none" w:sz="0" w:space="0" w:color="auto"/>
        <w:left w:val="none" w:sz="0" w:space="0" w:color="auto"/>
        <w:bottom w:val="none" w:sz="0" w:space="0" w:color="auto"/>
        <w:right w:val="none" w:sz="0" w:space="0" w:color="auto"/>
      </w:divBdr>
    </w:div>
    <w:div w:id="130875936">
      <w:bodyDiv w:val="1"/>
      <w:marLeft w:val="0"/>
      <w:marRight w:val="0"/>
      <w:marTop w:val="0"/>
      <w:marBottom w:val="0"/>
      <w:divBdr>
        <w:top w:val="none" w:sz="0" w:space="0" w:color="auto"/>
        <w:left w:val="none" w:sz="0" w:space="0" w:color="auto"/>
        <w:bottom w:val="none" w:sz="0" w:space="0" w:color="auto"/>
        <w:right w:val="none" w:sz="0" w:space="0" w:color="auto"/>
      </w:divBdr>
    </w:div>
    <w:div w:id="288976037">
      <w:bodyDiv w:val="1"/>
      <w:marLeft w:val="0"/>
      <w:marRight w:val="0"/>
      <w:marTop w:val="0"/>
      <w:marBottom w:val="0"/>
      <w:divBdr>
        <w:top w:val="none" w:sz="0" w:space="0" w:color="auto"/>
        <w:left w:val="none" w:sz="0" w:space="0" w:color="auto"/>
        <w:bottom w:val="none" w:sz="0" w:space="0" w:color="auto"/>
        <w:right w:val="none" w:sz="0" w:space="0" w:color="auto"/>
      </w:divBdr>
    </w:div>
    <w:div w:id="1100567832">
      <w:bodyDiv w:val="1"/>
      <w:marLeft w:val="0"/>
      <w:marRight w:val="0"/>
      <w:marTop w:val="0"/>
      <w:marBottom w:val="0"/>
      <w:divBdr>
        <w:top w:val="none" w:sz="0" w:space="0" w:color="auto"/>
        <w:left w:val="none" w:sz="0" w:space="0" w:color="auto"/>
        <w:bottom w:val="none" w:sz="0" w:space="0" w:color="auto"/>
        <w:right w:val="none" w:sz="0" w:space="0" w:color="auto"/>
      </w:divBdr>
    </w:div>
    <w:div w:id="1527675161">
      <w:bodyDiv w:val="1"/>
      <w:marLeft w:val="0"/>
      <w:marRight w:val="0"/>
      <w:marTop w:val="0"/>
      <w:marBottom w:val="0"/>
      <w:divBdr>
        <w:top w:val="none" w:sz="0" w:space="0" w:color="auto"/>
        <w:left w:val="none" w:sz="0" w:space="0" w:color="auto"/>
        <w:bottom w:val="none" w:sz="0" w:space="0" w:color="auto"/>
        <w:right w:val="none" w:sz="0" w:space="0" w:color="auto"/>
      </w:divBdr>
    </w:div>
    <w:div w:id="1562400051">
      <w:bodyDiv w:val="1"/>
      <w:marLeft w:val="0"/>
      <w:marRight w:val="0"/>
      <w:marTop w:val="0"/>
      <w:marBottom w:val="0"/>
      <w:divBdr>
        <w:top w:val="none" w:sz="0" w:space="0" w:color="auto"/>
        <w:left w:val="none" w:sz="0" w:space="0" w:color="auto"/>
        <w:bottom w:val="none" w:sz="0" w:space="0" w:color="auto"/>
        <w:right w:val="none" w:sz="0" w:space="0" w:color="auto"/>
      </w:divBdr>
    </w:div>
    <w:div w:id="1666199575">
      <w:bodyDiv w:val="1"/>
      <w:marLeft w:val="0"/>
      <w:marRight w:val="0"/>
      <w:marTop w:val="0"/>
      <w:marBottom w:val="0"/>
      <w:divBdr>
        <w:top w:val="none" w:sz="0" w:space="0" w:color="auto"/>
        <w:left w:val="none" w:sz="0" w:space="0" w:color="auto"/>
        <w:bottom w:val="none" w:sz="0" w:space="0" w:color="auto"/>
        <w:right w:val="none" w:sz="0" w:space="0" w:color="auto"/>
      </w:divBdr>
    </w:div>
    <w:div w:id="1770662965">
      <w:bodyDiv w:val="1"/>
      <w:marLeft w:val="0"/>
      <w:marRight w:val="0"/>
      <w:marTop w:val="0"/>
      <w:marBottom w:val="0"/>
      <w:divBdr>
        <w:top w:val="none" w:sz="0" w:space="0" w:color="auto"/>
        <w:left w:val="none" w:sz="0" w:space="0" w:color="auto"/>
        <w:bottom w:val="none" w:sz="0" w:space="0" w:color="auto"/>
        <w:right w:val="none" w:sz="0" w:space="0" w:color="auto"/>
      </w:divBdr>
    </w:div>
    <w:div w:id="1832484449">
      <w:bodyDiv w:val="1"/>
      <w:marLeft w:val="0"/>
      <w:marRight w:val="0"/>
      <w:marTop w:val="0"/>
      <w:marBottom w:val="0"/>
      <w:divBdr>
        <w:top w:val="none" w:sz="0" w:space="0" w:color="auto"/>
        <w:left w:val="none" w:sz="0" w:space="0" w:color="auto"/>
        <w:bottom w:val="none" w:sz="0" w:space="0" w:color="auto"/>
        <w:right w:val="none" w:sz="0" w:space="0" w:color="auto"/>
      </w:divBdr>
    </w:div>
    <w:div w:id="1857498719">
      <w:bodyDiv w:val="1"/>
      <w:marLeft w:val="0"/>
      <w:marRight w:val="0"/>
      <w:marTop w:val="0"/>
      <w:marBottom w:val="0"/>
      <w:divBdr>
        <w:top w:val="none" w:sz="0" w:space="0" w:color="auto"/>
        <w:left w:val="none" w:sz="0" w:space="0" w:color="auto"/>
        <w:bottom w:val="none" w:sz="0" w:space="0" w:color="auto"/>
        <w:right w:val="none" w:sz="0" w:space="0" w:color="auto"/>
      </w:divBdr>
    </w:div>
    <w:div w:id="201649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vanswebb@versusarthriti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tc.org.uk/wp-content/uploads/2019/10/bitc-wellbeing-toolkit-musculoskeletal-mar2017.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national-disability-strategy" TargetMode="External"/><Relationship Id="rId13" Type="http://schemas.openxmlformats.org/officeDocument/2006/relationships/hyperlink" Target="https://www.versusarthritis.org/media/21554/adapted-homes-empowered-lives-report-2019.pdf" TargetMode="External"/><Relationship Id="rId3" Type="http://schemas.openxmlformats.org/officeDocument/2006/relationships/hyperlink" Target="https://www.ons.gov.uk/file?uri=%2femploymentandlabourmarket%2fpeopleinwork%2femploymentandemployeetypes%2fdatasets%2fsicknessabsenceinthelabourmarket%2f2018/sicknessabsence2018data.xlsx" TargetMode="External"/><Relationship Id="rId7" Type="http://schemas.openxmlformats.org/officeDocument/2006/relationships/hyperlink" Target="https://www.versusarthritis.org/media/13466/working-it-out-report.pdf" TargetMode="External"/><Relationship Id="rId12" Type="http://schemas.openxmlformats.org/officeDocument/2006/relationships/hyperlink" Target="https://www.gov.uk/government/publications/care-act-statutory-guidance/care-and-support-statutory-guidance" TargetMode="External"/><Relationship Id="rId2" Type="http://schemas.openxmlformats.org/officeDocument/2006/relationships/hyperlink" Target="https://www.versusarthritis.org/media/14594/state-of-musculoskeletal-health-2019.pdf" TargetMode="External"/><Relationship Id="rId1" Type="http://schemas.openxmlformats.org/officeDocument/2006/relationships/hyperlink" Target="https://www.cipd.co.uk/knowledge/fundamentals/emp-law/health-safety/factsheet" TargetMode="External"/><Relationship Id="rId6" Type="http://schemas.openxmlformats.org/officeDocument/2006/relationships/hyperlink" Target="https://www.legislation.gov.uk/ukpga/2010/15/section/20" TargetMode="External"/><Relationship Id="rId11" Type="http://schemas.openxmlformats.org/officeDocument/2006/relationships/hyperlink" Target="https://www.legislation.gov.uk/ukpga/2014/23/contents/enacted" TargetMode="External"/><Relationship Id="rId5" Type="http://schemas.openxmlformats.org/officeDocument/2006/relationships/hyperlink" Target="https://assets.publishing.service.gov.uk/government/uploads/system/uploads/attachment_data/file/907616/s0650-direct-indirect-impacts-covid-19-excess-deaths-morbidity-sage-48.pdf" TargetMode="External"/><Relationship Id="rId10" Type="http://schemas.openxmlformats.org/officeDocument/2006/relationships/hyperlink" Target="https://assets.publishing.service.gov.uk/government/uploads/system/uploads/attachment_data/file/49779/sayce-report.pdf" TargetMode="External"/><Relationship Id="rId4" Type="http://schemas.openxmlformats.org/officeDocument/2006/relationships/hyperlink" Target="https://www.versusarthritis.org/media/2071/working-with-arthritis-policy-report.pdf" TargetMode="External"/><Relationship Id="rId9" Type="http://schemas.openxmlformats.org/officeDocument/2006/relationships/hyperlink" Target="https://www.versusarthritis.org/media/17430/access-to-work-policy-position-june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321771e-30c3-43e0-8059-e8603a7a1085">
      <UserInfo>
        <DisplayName>Patricia Stapleton</DisplayName>
        <AccountId>19515</AccountId>
        <AccountType/>
      </UserInfo>
      <UserInfo>
        <DisplayName>Judy Abel</DisplayName>
        <AccountId>17929</AccountId>
        <AccountType/>
      </UserInfo>
      <UserInfo>
        <DisplayName>Madeleine Evans Webb</DisplayName>
        <AccountId>13142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D482EDAA18C24181072769464C60F8" ma:contentTypeVersion="13" ma:contentTypeDescription="Create a new document." ma:contentTypeScope="" ma:versionID="61fd2b0126e6c1cf8bdd18af5115a5a2">
  <xsd:schema xmlns:xsd="http://www.w3.org/2001/XMLSchema" xmlns:xs="http://www.w3.org/2001/XMLSchema" xmlns:p="http://schemas.microsoft.com/office/2006/metadata/properties" xmlns:ns2="4321771e-30c3-43e0-8059-e8603a7a1085" xmlns:ns3="4a0be995-a73c-4046-8bee-a34374c053db" targetNamespace="http://schemas.microsoft.com/office/2006/metadata/properties" ma:root="true" ma:fieldsID="3848df6682bb942c610ee1462ca75016" ns2:_="" ns3:_="">
    <xsd:import namespace="4321771e-30c3-43e0-8059-e8603a7a1085"/>
    <xsd:import namespace="4a0be995-a73c-4046-8bee-a34374c053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1771e-30c3-43e0-8059-e8603a7a10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be995-a73c-4046-8bee-a34374c053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F5891-4B75-48F8-B869-D7BAA85175E9}">
  <ds:schemaRefs>
    <ds:schemaRef ds:uri="http://schemas.microsoft.com/sharepoint/v3/contenttype/forms"/>
  </ds:schemaRefs>
</ds:datastoreItem>
</file>

<file path=customXml/itemProps2.xml><?xml version="1.0" encoding="utf-8"?>
<ds:datastoreItem xmlns:ds="http://schemas.openxmlformats.org/officeDocument/2006/customXml" ds:itemID="{85DEF636-B03B-49CB-8083-72F0B4169607}">
  <ds:schemaRefs>
    <ds:schemaRef ds:uri="http://schemas.microsoft.com/office/2006/metadata/properties"/>
    <ds:schemaRef ds:uri="http://schemas.microsoft.com/office/infopath/2007/PartnerControls"/>
    <ds:schemaRef ds:uri="4321771e-30c3-43e0-8059-e8603a7a1085"/>
  </ds:schemaRefs>
</ds:datastoreItem>
</file>

<file path=customXml/itemProps3.xml><?xml version="1.0" encoding="utf-8"?>
<ds:datastoreItem xmlns:ds="http://schemas.openxmlformats.org/officeDocument/2006/customXml" ds:itemID="{7A91E6C1-0E60-4982-B8DE-61258838A2C6}">
  <ds:schemaRefs>
    <ds:schemaRef ds:uri="http://schemas.openxmlformats.org/officeDocument/2006/bibliography"/>
  </ds:schemaRefs>
</ds:datastoreItem>
</file>

<file path=customXml/itemProps4.xml><?xml version="1.0" encoding="utf-8"?>
<ds:datastoreItem xmlns:ds="http://schemas.openxmlformats.org/officeDocument/2006/customXml" ds:itemID="{7F23D38D-3573-47FA-B049-11A1C391F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1771e-30c3-43e0-8059-e8603a7a1085"/>
    <ds:schemaRef ds:uri="4a0be995-a73c-4046-8bee-a34374c05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2845</Words>
  <Characters>16221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Evans Webb</dc:creator>
  <cp:keywords/>
  <dc:description/>
  <cp:lastModifiedBy>Emma Tagg</cp:lastModifiedBy>
  <cp:revision>2</cp:revision>
  <cp:lastPrinted>2021-08-18T14:47:00Z</cp:lastPrinted>
  <dcterms:created xsi:type="dcterms:W3CDTF">2021-11-09T10:29:00Z</dcterms:created>
  <dcterms:modified xsi:type="dcterms:W3CDTF">2021-11-09T10:29:00Z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0x01010007D482EDAA18C24181072769464C60F8</vt:lpwstr>
  </property>
</Properties>
</file>