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5AE4" w14:textId="1D42E24D" w:rsidR="00F74720" w:rsidRPr="0039201E" w:rsidRDefault="00090F69" w:rsidP="00CF540D">
      <w:pPr>
        <w:pStyle w:val="Title"/>
        <w:rPr>
          <w:noProof w:val="0"/>
        </w:rPr>
      </w:pPr>
      <w:r>
        <w:rPr>
          <w:noProof w:val="0"/>
        </w:rPr>
        <w:t>Education and training for healthcare professionals</w:t>
      </w:r>
    </w:p>
    <w:p w14:paraId="088D97F5" w14:textId="77777777" w:rsidR="00090F69" w:rsidRDefault="00090F69" w:rsidP="009005E5">
      <w:pPr>
        <w:spacing w:line="276" w:lineRule="auto"/>
        <w:rPr>
          <w:rFonts w:cs="Arial"/>
          <w:color w:val="000000" w:themeColor="text1"/>
          <w:szCs w:val="24"/>
        </w:rPr>
      </w:pPr>
    </w:p>
    <w:p w14:paraId="578F21DA" w14:textId="5559E7E8" w:rsidR="00090F69" w:rsidRPr="00090F69" w:rsidRDefault="00090F69" w:rsidP="00090F69">
      <w:pPr>
        <w:spacing w:line="276" w:lineRule="auto"/>
        <w:rPr>
          <w:rFonts w:cs="Arial"/>
          <w:color w:val="000000" w:themeColor="text1"/>
          <w:szCs w:val="24"/>
        </w:rPr>
      </w:pPr>
      <w:r w:rsidRPr="00090F69">
        <w:rPr>
          <w:rFonts w:cs="Arial"/>
          <w:color w:val="000000" w:themeColor="text1"/>
          <w:szCs w:val="24"/>
        </w:rPr>
        <w:t>We have a range of training courses to upskill and support professionals working in MSK Care. Our events are primarily</w:t>
      </w:r>
      <w:r>
        <w:rPr>
          <w:rFonts w:cs="Arial"/>
          <w:color w:val="000000" w:themeColor="text1"/>
          <w:szCs w:val="24"/>
        </w:rPr>
        <w:t xml:space="preserve"> </w:t>
      </w:r>
      <w:r w:rsidRPr="00090F69">
        <w:rPr>
          <w:rFonts w:cs="Arial"/>
          <w:color w:val="000000" w:themeColor="text1"/>
          <w:szCs w:val="24"/>
        </w:rPr>
        <w:t>aimed at GPs, GP trainees and other primary healthcare professionals who support patients presenting with MSK</w:t>
      </w:r>
      <w:r>
        <w:rPr>
          <w:rFonts w:cs="Arial"/>
          <w:color w:val="000000" w:themeColor="text1"/>
          <w:szCs w:val="24"/>
        </w:rPr>
        <w:t xml:space="preserve"> </w:t>
      </w:r>
      <w:r w:rsidRPr="00090F69">
        <w:rPr>
          <w:rFonts w:cs="Arial"/>
          <w:color w:val="000000" w:themeColor="text1"/>
          <w:szCs w:val="24"/>
        </w:rPr>
        <w:t>conditions, but our courses can be adapted to suit specific groups of professionals.</w:t>
      </w:r>
    </w:p>
    <w:p w14:paraId="709589B8" w14:textId="708237B8" w:rsidR="00090F69" w:rsidRPr="00090F69" w:rsidRDefault="00090F69" w:rsidP="00090F69">
      <w:pPr>
        <w:spacing w:line="276" w:lineRule="auto"/>
        <w:rPr>
          <w:rFonts w:cs="Arial"/>
          <w:color w:val="000000" w:themeColor="text1"/>
          <w:szCs w:val="24"/>
        </w:rPr>
      </w:pPr>
      <w:r w:rsidRPr="00090F69">
        <w:rPr>
          <w:rFonts w:cs="Arial"/>
          <w:color w:val="000000" w:themeColor="text1"/>
          <w:szCs w:val="24"/>
        </w:rPr>
        <w:t>To find out more or to book individuals onto one of our upcoming training courses, visit</w:t>
      </w:r>
      <w:r>
        <w:rPr>
          <w:rFonts w:cs="Arial"/>
          <w:color w:val="000000" w:themeColor="text1"/>
          <w:szCs w:val="24"/>
        </w:rPr>
        <w:t xml:space="preserve"> </w:t>
      </w:r>
      <w:hyperlink r:id="rId10" w:history="1">
        <w:r w:rsidRPr="00640272">
          <w:rPr>
            <w:rStyle w:val="Hyperlink"/>
            <w:rFonts w:cs="Arial"/>
            <w:szCs w:val="24"/>
          </w:rPr>
          <w:t>www.VersusArthritis.org/CoreSkills</w:t>
        </w:r>
      </w:hyperlink>
      <w:r>
        <w:rPr>
          <w:rFonts w:cs="Arial"/>
          <w:color w:val="000000" w:themeColor="text1"/>
          <w:szCs w:val="24"/>
        </w:rPr>
        <w:t xml:space="preserve"> </w:t>
      </w:r>
      <w:r w:rsidRPr="00090F69">
        <w:rPr>
          <w:rFonts w:cs="Arial"/>
          <w:color w:val="000000" w:themeColor="text1"/>
          <w:szCs w:val="24"/>
        </w:rPr>
        <w:t>or contact</w:t>
      </w:r>
      <w:r>
        <w:rPr>
          <w:rFonts w:cs="Arial"/>
          <w:color w:val="000000" w:themeColor="text1"/>
          <w:szCs w:val="24"/>
        </w:rPr>
        <w:t xml:space="preserve"> </w:t>
      </w:r>
      <w:hyperlink r:id="rId11" w:history="1">
        <w:r w:rsidRPr="00640272">
          <w:rPr>
            <w:rStyle w:val="Hyperlink"/>
            <w:rFonts w:cs="Arial"/>
            <w:szCs w:val="24"/>
          </w:rPr>
          <w:t>ProfessionalEngagement@VersusArthritis.org</w:t>
        </w:r>
      </w:hyperlink>
      <w:r>
        <w:rPr>
          <w:rFonts w:cs="Arial"/>
          <w:color w:val="000000" w:themeColor="text1"/>
          <w:szCs w:val="24"/>
        </w:rPr>
        <w:t xml:space="preserve"> </w:t>
      </w:r>
    </w:p>
    <w:p w14:paraId="00830192" w14:textId="77777777" w:rsidR="008D555E" w:rsidRPr="0039201E" w:rsidRDefault="008D555E" w:rsidP="00687B43">
      <w:pPr>
        <w:pStyle w:val="ListParagraph"/>
        <w:numPr>
          <w:ilvl w:val="0"/>
          <w:numId w:val="0"/>
        </w:numPr>
        <w:tabs>
          <w:tab w:val="left" w:pos="720"/>
        </w:tabs>
        <w:ind w:left="720"/>
        <w:rPr>
          <w:szCs w:val="24"/>
        </w:rPr>
      </w:pPr>
    </w:p>
    <w:tbl>
      <w:tblPr>
        <w:tblStyle w:val="ArthritisRed"/>
        <w:tblW w:w="14170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67"/>
        <w:gridCol w:w="5849"/>
        <w:gridCol w:w="4254"/>
        <w:gridCol w:w="1700"/>
      </w:tblGrid>
      <w:tr w:rsidR="001505BA" w:rsidRPr="0039201E" w14:paraId="18A3A5E7" w14:textId="39D51642" w:rsidTr="00C85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tcW w:w="835" w:type="pct"/>
            <w:tcBorders>
              <w:bottom w:val="single" w:sz="4" w:space="0" w:color="auto"/>
            </w:tcBorders>
            <w:shd w:val="clear" w:color="auto" w:fill="0073BE"/>
          </w:tcPr>
          <w:p w14:paraId="3CDFE228" w14:textId="0D9A2157" w:rsidR="00090F69" w:rsidRPr="0039201E" w:rsidRDefault="00090F69" w:rsidP="00DC61F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Event</w:t>
            </w:r>
          </w:p>
        </w:tc>
        <w:tc>
          <w:tcPr>
            <w:tcW w:w="2064" w:type="pct"/>
            <w:shd w:val="clear" w:color="auto" w:fill="0073BE"/>
          </w:tcPr>
          <w:p w14:paraId="73F3E123" w14:textId="6905DC26" w:rsidR="00090F69" w:rsidRPr="0039201E" w:rsidRDefault="00090F69" w:rsidP="00DC61F8">
            <w:pPr>
              <w:spacing w:before="70" w:after="70"/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What is covered </w:t>
            </w:r>
          </w:p>
        </w:tc>
        <w:tc>
          <w:tcPr>
            <w:tcW w:w="1501" w:type="pct"/>
            <w:shd w:val="clear" w:color="auto" w:fill="0073BE"/>
          </w:tcPr>
          <w:p w14:paraId="6E10E164" w14:textId="61600B4A" w:rsidR="00090F69" w:rsidRPr="0039201E" w:rsidRDefault="00090F69" w:rsidP="00DC61F8">
            <w:pPr>
              <w:spacing w:before="70" w:after="70"/>
              <w:rPr>
                <w:rFonts w:cs="Times New Roman"/>
                <w:szCs w:val="24"/>
              </w:rPr>
            </w:pPr>
            <w:r>
              <w:rPr>
                <w:rFonts w:cs="Arial"/>
                <w:szCs w:val="24"/>
              </w:rPr>
              <w:t xml:space="preserve">Delivery options </w:t>
            </w:r>
          </w:p>
        </w:tc>
        <w:tc>
          <w:tcPr>
            <w:tcW w:w="600" w:type="pct"/>
            <w:shd w:val="clear" w:color="auto" w:fill="0073BE"/>
          </w:tcPr>
          <w:p w14:paraId="3EC3B3A6" w14:textId="2071636C" w:rsidR="00090F69" w:rsidRDefault="00090F69" w:rsidP="00DC61F8">
            <w:pPr>
              <w:spacing w:before="70" w:after="7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Guide price </w:t>
            </w:r>
          </w:p>
        </w:tc>
      </w:tr>
      <w:tr w:rsidR="00090F69" w:rsidRPr="0039201E" w14:paraId="0D546442" w14:textId="74CFC0B1" w:rsidTr="00C8587E">
        <w:trPr>
          <w:trHeight w:val="2573"/>
        </w:trPr>
        <w:tc>
          <w:tcPr>
            <w:tcW w:w="83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204A09" w14:textId="017297BF" w:rsidR="00090F69" w:rsidRPr="0039201E" w:rsidRDefault="00090F69" w:rsidP="007D4F94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Core skills in musculoskeletal care</w:t>
            </w:r>
            <w:r w:rsidRPr="0039201E">
              <w:rPr>
                <w:rFonts w:cs="Arial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064" w:type="pct"/>
            <w:vMerge w:val="restart"/>
            <w:shd w:val="clear" w:color="auto" w:fill="auto"/>
          </w:tcPr>
          <w:p w14:paraId="12C8A135" w14:textId="77777777" w:rsidR="00090F69" w:rsidRDefault="00090F69" w:rsidP="00090F69">
            <w:pPr>
              <w:spacing w:before="70" w:after="300" w:line="276" w:lineRule="auto"/>
              <w:rPr>
                <w:rFonts w:cs="Arial"/>
                <w:color w:val="000000" w:themeColor="text1"/>
                <w:szCs w:val="24"/>
              </w:rPr>
            </w:pPr>
            <w:r w:rsidRPr="00090F69">
              <w:rPr>
                <w:rFonts w:cs="Arial"/>
                <w:color w:val="000000" w:themeColor="text1"/>
                <w:szCs w:val="24"/>
              </w:rPr>
              <w:t>This workshop provides a supportive environment</w:t>
            </w: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090F69">
              <w:rPr>
                <w:rFonts w:cs="Arial"/>
                <w:color w:val="000000" w:themeColor="text1"/>
                <w:szCs w:val="24"/>
              </w:rPr>
              <w:t>for GPs and other primary healthcare professionals</w:t>
            </w: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090F69">
              <w:rPr>
                <w:rFonts w:cs="Arial"/>
                <w:color w:val="000000" w:themeColor="text1"/>
                <w:szCs w:val="24"/>
              </w:rPr>
              <w:t>to develop confidence and skills in the diagnosis,</w:t>
            </w: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090F69">
              <w:rPr>
                <w:rFonts w:cs="Arial"/>
                <w:color w:val="000000" w:themeColor="text1"/>
                <w:szCs w:val="24"/>
              </w:rPr>
              <w:t>treatment, and management of patients with MSK</w:t>
            </w: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090F69">
              <w:rPr>
                <w:rFonts w:cs="Arial"/>
                <w:color w:val="000000" w:themeColor="text1"/>
                <w:szCs w:val="24"/>
              </w:rPr>
              <w:t>conditions.</w:t>
            </w:r>
          </w:p>
          <w:p w14:paraId="7EA33D44" w14:textId="48947294" w:rsidR="00090F69" w:rsidRDefault="00090F69" w:rsidP="00090F69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The workshop is split into three main sections: </w:t>
            </w:r>
          </w:p>
          <w:p w14:paraId="7E6531FD" w14:textId="2765447F" w:rsidR="00090F69" w:rsidRPr="00090F69" w:rsidRDefault="00090F69" w:rsidP="00090F69">
            <w:pPr>
              <w:pStyle w:val="ListParagraph"/>
              <w:numPr>
                <w:ilvl w:val="0"/>
                <w:numId w:val="34"/>
              </w:numPr>
              <w:spacing w:before="70" w:after="300"/>
              <w:rPr>
                <w:szCs w:val="24"/>
              </w:rPr>
            </w:pPr>
            <w:r w:rsidRPr="00090F69">
              <w:rPr>
                <w:rFonts w:cs="Times New Roman"/>
                <w:szCs w:val="24"/>
              </w:rPr>
              <w:t>Lower back pain and sciatica</w:t>
            </w:r>
          </w:p>
          <w:p w14:paraId="0B3BBA1D" w14:textId="6651FA8A" w:rsidR="00090F69" w:rsidRPr="00090F69" w:rsidRDefault="00090F69" w:rsidP="00090F69">
            <w:pPr>
              <w:pStyle w:val="ListParagraph"/>
              <w:numPr>
                <w:ilvl w:val="0"/>
                <w:numId w:val="34"/>
              </w:numPr>
              <w:spacing w:before="70" w:after="300"/>
              <w:rPr>
                <w:rFonts w:cs="Times New Roman"/>
                <w:szCs w:val="24"/>
              </w:rPr>
            </w:pPr>
            <w:r w:rsidRPr="00090F69">
              <w:rPr>
                <w:rFonts w:cs="Times New Roman"/>
                <w:szCs w:val="24"/>
              </w:rPr>
              <w:t>Upper limb pain including neck (with emphasis</w:t>
            </w:r>
            <w:r>
              <w:rPr>
                <w:rFonts w:cs="Times New Roman"/>
                <w:szCs w:val="24"/>
              </w:rPr>
              <w:t xml:space="preserve"> </w:t>
            </w:r>
            <w:r w:rsidRPr="00090F69">
              <w:rPr>
                <w:rFonts w:cs="Times New Roman"/>
                <w:szCs w:val="24"/>
              </w:rPr>
              <w:t xml:space="preserve">on shoulder) </w:t>
            </w:r>
          </w:p>
          <w:p w14:paraId="46C5212C" w14:textId="720576AB" w:rsidR="00090F69" w:rsidRPr="00090F69" w:rsidRDefault="00090F69" w:rsidP="00090F69">
            <w:pPr>
              <w:pStyle w:val="ListParagraph"/>
              <w:numPr>
                <w:ilvl w:val="0"/>
                <w:numId w:val="34"/>
              </w:numPr>
              <w:spacing w:before="70" w:after="300"/>
              <w:rPr>
                <w:rFonts w:cs="Times New Roman"/>
                <w:szCs w:val="24"/>
              </w:rPr>
            </w:pPr>
            <w:r w:rsidRPr="00090F69">
              <w:rPr>
                <w:rFonts w:cs="Times New Roman"/>
                <w:szCs w:val="24"/>
              </w:rPr>
              <w:t>Lower limb pain and OA (with emphasis on</w:t>
            </w:r>
            <w:r>
              <w:rPr>
                <w:rFonts w:cs="Times New Roman"/>
                <w:szCs w:val="24"/>
              </w:rPr>
              <w:t xml:space="preserve"> </w:t>
            </w:r>
            <w:r w:rsidRPr="00090F69">
              <w:rPr>
                <w:rFonts w:cs="Times New Roman"/>
                <w:szCs w:val="24"/>
              </w:rPr>
              <w:t>knee)</w:t>
            </w:r>
          </w:p>
        </w:tc>
        <w:tc>
          <w:tcPr>
            <w:tcW w:w="1501" w:type="pct"/>
            <w:shd w:val="clear" w:color="auto" w:fill="auto"/>
          </w:tcPr>
          <w:p w14:paraId="7AD8E1D0" w14:textId="32F84473" w:rsidR="00090F69" w:rsidRPr="00090F69" w:rsidRDefault="001505BA" w:rsidP="00090F69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Face to face sessions </w:t>
            </w:r>
          </w:p>
          <w:p w14:paraId="6D5BE8EA" w14:textId="5C946B9B" w:rsidR="00090F69" w:rsidRPr="00090F69" w:rsidRDefault="00090F69" w:rsidP="00090F69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90F69">
              <w:rPr>
                <w:rFonts w:cs="Times New Roman"/>
                <w:color w:val="000000" w:themeColor="text1"/>
                <w:szCs w:val="24"/>
              </w:rPr>
              <w:t>8-hour, 1 day event delivered by our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90F69">
              <w:rPr>
                <w:rFonts w:cs="Times New Roman"/>
                <w:color w:val="000000" w:themeColor="text1"/>
                <w:szCs w:val="24"/>
              </w:rPr>
              <w:t>trainers at a venue agreed with the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90F69">
              <w:rPr>
                <w:rFonts w:cs="Times New Roman"/>
                <w:color w:val="000000" w:themeColor="text1"/>
                <w:szCs w:val="24"/>
              </w:rPr>
              <w:t>commissioning organisation.</w:t>
            </w:r>
          </w:p>
          <w:p w14:paraId="13967006" w14:textId="7A0338B0" w:rsidR="00090F69" w:rsidRPr="0039201E" w:rsidRDefault="00090F69" w:rsidP="00090F69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90F69">
              <w:rPr>
                <w:rFonts w:cs="Times New Roman"/>
                <w:color w:val="000000" w:themeColor="text1"/>
                <w:szCs w:val="24"/>
              </w:rPr>
              <w:t>12 - 18 delegates per trainer.</w:t>
            </w:r>
          </w:p>
        </w:tc>
        <w:tc>
          <w:tcPr>
            <w:tcW w:w="600" w:type="pct"/>
          </w:tcPr>
          <w:p w14:paraId="61203AE3" w14:textId="70B66BC7" w:rsidR="00090F69" w:rsidRPr="0039201E" w:rsidRDefault="00090F69" w:rsidP="00D91287">
            <w:pPr>
              <w:spacing w:before="70" w:after="300" w:line="276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£165 pp</w:t>
            </w:r>
          </w:p>
        </w:tc>
      </w:tr>
      <w:tr w:rsidR="00090F69" w:rsidRPr="0039201E" w14:paraId="117AD88A" w14:textId="77777777" w:rsidTr="00C8587E">
        <w:trPr>
          <w:trHeight w:val="2572"/>
        </w:trPr>
        <w:tc>
          <w:tcPr>
            <w:tcW w:w="835" w:type="pct"/>
            <w:vMerge/>
            <w:shd w:val="clear" w:color="auto" w:fill="auto"/>
          </w:tcPr>
          <w:p w14:paraId="084FCAFE" w14:textId="77777777" w:rsidR="00090F69" w:rsidRDefault="00090F69" w:rsidP="007D4F94">
            <w:pPr>
              <w:spacing w:before="70" w:after="300" w:line="276" w:lineRule="auto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2064" w:type="pct"/>
            <w:vMerge/>
            <w:shd w:val="clear" w:color="auto" w:fill="auto"/>
          </w:tcPr>
          <w:p w14:paraId="782B31BC" w14:textId="77777777" w:rsidR="00090F69" w:rsidRPr="00090F69" w:rsidRDefault="00090F69" w:rsidP="00090F69">
            <w:pPr>
              <w:spacing w:before="70" w:after="300" w:line="276" w:lineRule="auto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1501" w:type="pct"/>
            <w:shd w:val="clear" w:color="auto" w:fill="auto"/>
          </w:tcPr>
          <w:p w14:paraId="1990F422" w14:textId="77777777" w:rsidR="00090F69" w:rsidRDefault="00090F69" w:rsidP="00090F69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Digital group sessions</w:t>
            </w:r>
          </w:p>
          <w:p w14:paraId="5CBEFB8F" w14:textId="7E504162" w:rsidR="00090F69" w:rsidRPr="00090F69" w:rsidRDefault="00090F69" w:rsidP="00090F69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90F69">
              <w:rPr>
                <w:rFonts w:cs="Times New Roman"/>
                <w:color w:val="000000" w:themeColor="text1"/>
                <w:szCs w:val="24"/>
              </w:rPr>
              <w:t>4 x 2-hour sessions, delivered via MS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090F69">
              <w:rPr>
                <w:rFonts w:cs="Times New Roman"/>
                <w:color w:val="000000" w:themeColor="text1"/>
                <w:szCs w:val="24"/>
              </w:rPr>
              <w:t>Teams.</w:t>
            </w:r>
          </w:p>
          <w:p w14:paraId="4CC69521" w14:textId="6143A286" w:rsidR="00090F69" w:rsidRPr="00090F69" w:rsidRDefault="00090F69" w:rsidP="00090F69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90F69">
              <w:rPr>
                <w:rFonts w:cs="Times New Roman"/>
                <w:color w:val="000000" w:themeColor="text1"/>
                <w:szCs w:val="24"/>
              </w:rPr>
              <w:t>20 - 25 delegates per trainer.</w:t>
            </w:r>
          </w:p>
          <w:p w14:paraId="2C1FF3BB" w14:textId="5CE81D35" w:rsidR="00090F69" w:rsidRPr="0039201E" w:rsidRDefault="00090F69" w:rsidP="00090F69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090F69">
              <w:rPr>
                <w:rFonts w:cs="Times New Roman"/>
                <w:color w:val="000000" w:themeColor="text1"/>
                <w:szCs w:val="24"/>
              </w:rPr>
              <w:t>Note: Delegates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must be able to attend all 4 sessions. </w:t>
            </w:r>
          </w:p>
        </w:tc>
        <w:tc>
          <w:tcPr>
            <w:tcW w:w="600" w:type="pct"/>
          </w:tcPr>
          <w:p w14:paraId="60D61F47" w14:textId="42E87844" w:rsidR="00090F69" w:rsidRPr="0039201E" w:rsidRDefault="00090F69" w:rsidP="00D91287">
            <w:pPr>
              <w:spacing w:before="70" w:after="300" w:line="276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£135 pp</w:t>
            </w:r>
          </w:p>
        </w:tc>
      </w:tr>
      <w:tr w:rsidR="001505BA" w:rsidRPr="0039201E" w14:paraId="6C256425" w14:textId="77777777" w:rsidTr="00C8587E">
        <w:trPr>
          <w:trHeight w:val="2572"/>
        </w:trPr>
        <w:tc>
          <w:tcPr>
            <w:tcW w:w="835" w:type="pct"/>
            <w:shd w:val="clear" w:color="auto" w:fill="auto"/>
          </w:tcPr>
          <w:p w14:paraId="594DD871" w14:textId="33D9F2E4" w:rsidR="001505BA" w:rsidRDefault="001505BA" w:rsidP="007D4F94">
            <w:pPr>
              <w:spacing w:before="70" w:after="300" w:line="276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lastRenderedPageBreak/>
              <w:t>MSK in bitesize</w:t>
            </w:r>
          </w:p>
        </w:tc>
        <w:tc>
          <w:tcPr>
            <w:tcW w:w="2064" w:type="pct"/>
            <w:shd w:val="clear" w:color="auto" w:fill="auto"/>
          </w:tcPr>
          <w:p w14:paraId="0882D575" w14:textId="28E802FD" w:rsidR="001505BA" w:rsidRDefault="001505BA" w:rsidP="001505BA">
            <w:pPr>
              <w:spacing w:before="70" w:after="300" w:line="276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 xml:space="preserve">This course focuses on 10 topics that present frequently in primary care. The topics covered are: </w:t>
            </w:r>
          </w:p>
          <w:p w14:paraId="730816E4" w14:textId="0ECDCECA" w:rsidR="001505BA" w:rsidRPr="001505BA" w:rsidRDefault="001505BA" w:rsidP="001505BA">
            <w:pPr>
              <w:pStyle w:val="ListParagraph"/>
              <w:numPr>
                <w:ilvl w:val="0"/>
                <w:numId w:val="35"/>
              </w:numPr>
              <w:spacing w:before="70" w:after="300"/>
              <w:rPr>
                <w:szCs w:val="24"/>
              </w:rPr>
            </w:pPr>
            <w:r w:rsidRPr="001505BA">
              <w:rPr>
                <w:szCs w:val="24"/>
              </w:rPr>
              <w:t>Osteoarthritis</w:t>
            </w:r>
          </w:p>
          <w:p w14:paraId="186320A4" w14:textId="77777777" w:rsidR="001505BA" w:rsidRPr="001505BA" w:rsidRDefault="001505BA" w:rsidP="001505BA">
            <w:pPr>
              <w:pStyle w:val="ListParagraph"/>
              <w:numPr>
                <w:ilvl w:val="0"/>
                <w:numId w:val="35"/>
              </w:numPr>
              <w:spacing w:before="70" w:after="300"/>
              <w:rPr>
                <w:szCs w:val="24"/>
              </w:rPr>
            </w:pPr>
            <w:r w:rsidRPr="001505BA">
              <w:rPr>
                <w:szCs w:val="24"/>
              </w:rPr>
              <w:t>Inflammatory arthritis</w:t>
            </w:r>
          </w:p>
          <w:p w14:paraId="2DE7F824" w14:textId="77777777" w:rsidR="001505BA" w:rsidRPr="001505BA" w:rsidRDefault="001505BA" w:rsidP="001505BA">
            <w:pPr>
              <w:pStyle w:val="ListParagraph"/>
              <w:numPr>
                <w:ilvl w:val="0"/>
                <w:numId w:val="35"/>
              </w:numPr>
              <w:spacing w:before="70" w:after="300"/>
              <w:rPr>
                <w:szCs w:val="24"/>
              </w:rPr>
            </w:pPr>
            <w:r w:rsidRPr="001505BA">
              <w:rPr>
                <w:szCs w:val="24"/>
              </w:rPr>
              <w:t>Fibromyalgia</w:t>
            </w:r>
          </w:p>
          <w:p w14:paraId="37273846" w14:textId="77777777" w:rsidR="001505BA" w:rsidRPr="001505BA" w:rsidRDefault="001505BA" w:rsidP="001505BA">
            <w:pPr>
              <w:pStyle w:val="ListParagraph"/>
              <w:numPr>
                <w:ilvl w:val="0"/>
                <w:numId w:val="35"/>
              </w:numPr>
              <w:spacing w:before="70" w:after="300"/>
              <w:rPr>
                <w:szCs w:val="24"/>
              </w:rPr>
            </w:pPr>
            <w:r w:rsidRPr="001505BA">
              <w:rPr>
                <w:szCs w:val="24"/>
              </w:rPr>
              <w:t>Polymyalgia rheumatica</w:t>
            </w:r>
          </w:p>
          <w:p w14:paraId="76A69BEF" w14:textId="77777777" w:rsidR="001505BA" w:rsidRPr="001505BA" w:rsidRDefault="001505BA" w:rsidP="001505BA">
            <w:pPr>
              <w:pStyle w:val="ListParagraph"/>
              <w:numPr>
                <w:ilvl w:val="0"/>
                <w:numId w:val="35"/>
              </w:numPr>
              <w:spacing w:before="70" w:after="300"/>
              <w:rPr>
                <w:szCs w:val="24"/>
              </w:rPr>
            </w:pPr>
            <w:r w:rsidRPr="001505BA">
              <w:rPr>
                <w:szCs w:val="24"/>
              </w:rPr>
              <w:t>Myeloma</w:t>
            </w:r>
          </w:p>
          <w:p w14:paraId="70B91D1A" w14:textId="77777777" w:rsidR="001505BA" w:rsidRPr="001505BA" w:rsidRDefault="001505BA" w:rsidP="001505BA">
            <w:pPr>
              <w:pStyle w:val="ListParagraph"/>
              <w:numPr>
                <w:ilvl w:val="0"/>
                <w:numId w:val="35"/>
              </w:numPr>
              <w:spacing w:before="70" w:after="300"/>
              <w:rPr>
                <w:szCs w:val="24"/>
              </w:rPr>
            </w:pPr>
            <w:r w:rsidRPr="001505BA">
              <w:rPr>
                <w:szCs w:val="24"/>
              </w:rPr>
              <w:t>Gout</w:t>
            </w:r>
          </w:p>
          <w:p w14:paraId="089E6343" w14:textId="77777777" w:rsidR="001505BA" w:rsidRPr="001505BA" w:rsidRDefault="001505BA" w:rsidP="001505BA">
            <w:pPr>
              <w:pStyle w:val="ListParagraph"/>
              <w:numPr>
                <w:ilvl w:val="0"/>
                <w:numId w:val="35"/>
              </w:numPr>
              <w:spacing w:before="70" w:after="300"/>
              <w:rPr>
                <w:szCs w:val="24"/>
              </w:rPr>
            </w:pPr>
            <w:r w:rsidRPr="001505BA">
              <w:rPr>
                <w:szCs w:val="24"/>
              </w:rPr>
              <w:t>Hypermobility</w:t>
            </w:r>
          </w:p>
          <w:p w14:paraId="3F52BBB6" w14:textId="77777777" w:rsidR="001505BA" w:rsidRPr="001505BA" w:rsidRDefault="001505BA" w:rsidP="001505BA">
            <w:pPr>
              <w:pStyle w:val="ListParagraph"/>
              <w:numPr>
                <w:ilvl w:val="0"/>
                <w:numId w:val="35"/>
              </w:numPr>
              <w:spacing w:before="70" w:after="300"/>
              <w:rPr>
                <w:szCs w:val="24"/>
              </w:rPr>
            </w:pPr>
            <w:r w:rsidRPr="001505BA">
              <w:rPr>
                <w:szCs w:val="24"/>
              </w:rPr>
              <w:t>Paediatric MSK</w:t>
            </w:r>
          </w:p>
          <w:p w14:paraId="63F7FBB3" w14:textId="77777777" w:rsidR="001505BA" w:rsidRPr="001505BA" w:rsidRDefault="001505BA" w:rsidP="001505BA">
            <w:pPr>
              <w:pStyle w:val="ListParagraph"/>
              <w:numPr>
                <w:ilvl w:val="0"/>
                <w:numId w:val="35"/>
              </w:numPr>
              <w:spacing w:before="70" w:after="300"/>
              <w:rPr>
                <w:szCs w:val="24"/>
              </w:rPr>
            </w:pPr>
            <w:r w:rsidRPr="001505BA">
              <w:rPr>
                <w:szCs w:val="24"/>
              </w:rPr>
              <w:t>Lupus</w:t>
            </w:r>
          </w:p>
          <w:p w14:paraId="1A754E3B" w14:textId="3B7FDFEA" w:rsidR="001505BA" w:rsidRPr="001505BA" w:rsidRDefault="001505BA" w:rsidP="001505BA">
            <w:pPr>
              <w:pStyle w:val="ListParagraph"/>
              <w:numPr>
                <w:ilvl w:val="0"/>
                <w:numId w:val="35"/>
              </w:numPr>
              <w:spacing w:before="70" w:after="300"/>
              <w:rPr>
                <w:szCs w:val="24"/>
              </w:rPr>
            </w:pPr>
            <w:r w:rsidRPr="001505BA">
              <w:rPr>
                <w:szCs w:val="24"/>
              </w:rPr>
              <w:t>Physical activity</w:t>
            </w:r>
          </w:p>
        </w:tc>
        <w:tc>
          <w:tcPr>
            <w:tcW w:w="1501" w:type="pct"/>
            <w:shd w:val="clear" w:color="auto" w:fill="auto"/>
          </w:tcPr>
          <w:p w14:paraId="66140ACE" w14:textId="77777777" w:rsidR="001505BA" w:rsidRDefault="001505BA" w:rsidP="00090F69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Digital group sessions</w:t>
            </w:r>
          </w:p>
          <w:p w14:paraId="1C342216" w14:textId="77777777" w:rsidR="001505BA" w:rsidRDefault="001505BA" w:rsidP="00090F69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3-hour virtual event, delivered via MS Teams. </w:t>
            </w:r>
          </w:p>
          <w:p w14:paraId="2146E57B" w14:textId="12DD21EA" w:rsidR="001505BA" w:rsidRDefault="001505BA" w:rsidP="00090F69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Minimum of </w:t>
            </w:r>
            <w:r w:rsidR="002F39D8">
              <w:rPr>
                <w:rFonts w:cs="Times New Roman"/>
                <w:color w:val="000000" w:themeColor="text1"/>
                <w:szCs w:val="24"/>
              </w:rPr>
              <w:t>20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delegates. </w:t>
            </w:r>
          </w:p>
        </w:tc>
        <w:tc>
          <w:tcPr>
            <w:tcW w:w="600" w:type="pct"/>
          </w:tcPr>
          <w:p w14:paraId="37DE746E" w14:textId="48DA1991" w:rsidR="001505BA" w:rsidRDefault="001505BA" w:rsidP="00D91287">
            <w:pPr>
              <w:spacing w:before="70" w:after="300" w:line="276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£</w:t>
            </w:r>
            <w:r w:rsidR="00E401F2">
              <w:rPr>
                <w:rFonts w:cs="Arial"/>
                <w:color w:val="000000" w:themeColor="text1"/>
                <w:szCs w:val="24"/>
              </w:rPr>
              <w:t>35</w:t>
            </w:r>
            <w:r>
              <w:rPr>
                <w:rFonts w:cs="Arial"/>
                <w:color w:val="000000" w:themeColor="text1"/>
                <w:szCs w:val="24"/>
              </w:rPr>
              <w:t xml:space="preserve"> pp</w:t>
            </w:r>
          </w:p>
        </w:tc>
      </w:tr>
      <w:tr w:rsidR="001505BA" w:rsidRPr="0039201E" w14:paraId="127E8FA4" w14:textId="77777777" w:rsidTr="00C8587E">
        <w:trPr>
          <w:trHeight w:val="2572"/>
        </w:trPr>
        <w:tc>
          <w:tcPr>
            <w:tcW w:w="835" w:type="pct"/>
            <w:shd w:val="clear" w:color="auto" w:fill="auto"/>
          </w:tcPr>
          <w:p w14:paraId="5209F2EA" w14:textId="27FA3326" w:rsidR="001505BA" w:rsidRDefault="001505BA" w:rsidP="007D4F94">
            <w:pPr>
              <w:spacing w:before="70" w:after="300" w:line="276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Is it inflammatory arthritis or fibromyalgia syndrome?</w:t>
            </w:r>
          </w:p>
        </w:tc>
        <w:tc>
          <w:tcPr>
            <w:tcW w:w="2064" w:type="pct"/>
            <w:shd w:val="clear" w:color="auto" w:fill="auto"/>
          </w:tcPr>
          <w:p w14:paraId="7E92DF00" w14:textId="46F3BCD5" w:rsidR="001505BA" w:rsidRDefault="001505BA" w:rsidP="001505BA">
            <w:pPr>
              <w:spacing w:before="70" w:after="300" w:line="276" w:lineRule="auto"/>
              <w:rPr>
                <w:rFonts w:cs="Arial"/>
                <w:color w:val="000000" w:themeColor="text1"/>
                <w:szCs w:val="24"/>
              </w:rPr>
            </w:pPr>
            <w:r w:rsidRPr="001505BA">
              <w:rPr>
                <w:rFonts w:cs="Arial"/>
                <w:color w:val="000000" w:themeColor="text1"/>
                <w:szCs w:val="24"/>
              </w:rPr>
              <w:t>Differentiating between inflammatory arthritis and</w:t>
            </w: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1505BA">
              <w:rPr>
                <w:rFonts w:cs="Arial"/>
                <w:color w:val="000000" w:themeColor="text1"/>
                <w:szCs w:val="24"/>
              </w:rPr>
              <w:t>fibromyalgia is a difficult skill in a primary care setting, with</w:t>
            </w: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1505BA">
              <w:rPr>
                <w:rFonts w:cs="Arial"/>
                <w:color w:val="000000" w:themeColor="text1"/>
                <w:szCs w:val="24"/>
              </w:rPr>
              <w:t>huge implications for the patient and NHS.</w:t>
            </w:r>
            <w:r w:rsidR="005779C2">
              <w:rPr>
                <w:rFonts w:cs="Arial"/>
                <w:color w:val="000000" w:themeColor="text1"/>
                <w:szCs w:val="24"/>
              </w:rPr>
              <w:t xml:space="preserve"> </w:t>
            </w:r>
            <w:r>
              <w:rPr>
                <w:rFonts w:cs="Arial"/>
                <w:color w:val="000000" w:themeColor="text1"/>
                <w:szCs w:val="24"/>
              </w:rPr>
              <w:t xml:space="preserve">This </w:t>
            </w:r>
            <w:r w:rsidR="00E44BA3">
              <w:rPr>
                <w:rFonts w:cs="Arial"/>
                <w:color w:val="000000" w:themeColor="text1"/>
                <w:szCs w:val="24"/>
              </w:rPr>
              <w:t xml:space="preserve">course </w:t>
            </w:r>
            <w:r>
              <w:rPr>
                <w:rFonts w:cs="Arial"/>
                <w:color w:val="000000" w:themeColor="text1"/>
                <w:szCs w:val="24"/>
              </w:rPr>
              <w:t xml:space="preserve">covers: </w:t>
            </w:r>
          </w:p>
          <w:p w14:paraId="13228F4E" w14:textId="77777777" w:rsidR="001505BA" w:rsidRPr="001505BA" w:rsidRDefault="001505BA" w:rsidP="001505BA">
            <w:pPr>
              <w:pStyle w:val="ListParagraph"/>
              <w:numPr>
                <w:ilvl w:val="0"/>
                <w:numId w:val="36"/>
              </w:numPr>
              <w:spacing w:before="70" w:after="300"/>
              <w:rPr>
                <w:szCs w:val="24"/>
              </w:rPr>
            </w:pPr>
            <w:r w:rsidRPr="001505BA">
              <w:rPr>
                <w:szCs w:val="24"/>
              </w:rPr>
              <w:t>The clues in the history and examination that will help</w:t>
            </w:r>
          </w:p>
          <w:p w14:paraId="2FE06041" w14:textId="77777777" w:rsidR="001505BA" w:rsidRPr="001505BA" w:rsidRDefault="001505BA" w:rsidP="001505BA">
            <w:pPr>
              <w:pStyle w:val="ListParagraph"/>
              <w:numPr>
                <w:ilvl w:val="0"/>
                <w:numId w:val="36"/>
              </w:numPr>
              <w:spacing w:before="70" w:after="300"/>
              <w:rPr>
                <w:szCs w:val="24"/>
              </w:rPr>
            </w:pPr>
            <w:r w:rsidRPr="001505BA">
              <w:rPr>
                <w:szCs w:val="24"/>
              </w:rPr>
              <w:t>How to use investigations sensibly and cost-effectively</w:t>
            </w:r>
          </w:p>
          <w:p w14:paraId="4DD96AF0" w14:textId="77777777" w:rsidR="001505BA" w:rsidRPr="001505BA" w:rsidRDefault="001505BA" w:rsidP="001505BA">
            <w:pPr>
              <w:pStyle w:val="ListParagraph"/>
              <w:numPr>
                <w:ilvl w:val="0"/>
                <w:numId w:val="36"/>
              </w:numPr>
              <w:spacing w:before="70" w:after="300"/>
              <w:rPr>
                <w:szCs w:val="24"/>
              </w:rPr>
            </w:pPr>
            <w:r w:rsidRPr="001505BA">
              <w:rPr>
                <w:szCs w:val="24"/>
              </w:rPr>
              <w:t>How to communicate and explain the diagnosis</w:t>
            </w:r>
          </w:p>
          <w:p w14:paraId="62B8EDDF" w14:textId="44121390" w:rsidR="001505BA" w:rsidRPr="001505BA" w:rsidRDefault="001505BA" w:rsidP="001505BA">
            <w:pPr>
              <w:pStyle w:val="ListParagraph"/>
              <w:numPr>
                <w:ilvl w:val="0"/>
                <w:numId w:val="36"/>
              </w:numPr>
              <w:spacing w:before="70" w:after="300"/>
              <w:rPr>
                <w:szCs w:val="24"/>
              </w:rPr>
            </w:pPr>
            <w:r w:rsidRPr="001505BA">
              <w:rPr>
                <w:szCs w:val="24"/>
              </w:rPr>
              <w:t xml:space="preserve">How to facilitate self-management, including </w:t>
            </w:r>
            <w:r>
              <w:rPr>
                <w:szCs w:val="24"/>
              </w:rPr>
              <w:t>various t</w:t>
            </w:r>
            <w:r w:rsidRPr="001505BA">
              <w:rPr>
                <w:szCs w:val="24"/>
              </w:rPr>
              <w:t>ypes of patient information</w:t>
            </w:r>
          </w:p>
        </w:tc>
        <w:tc>
          <w:tcPr>
            <w:tcW w:w="1501" w:type="pct"/>
            <w:shd w:val="clear" w:color="auto" w:fill="auto"/>
          </w:tcPr>
          <w:p w14:paraId="564D1881" w14:textId="77777777" w:rsidR="001505BA" w:rsidRPr="001505BA" w:rsidRDefault="001505BA" w:rsidP="001505BA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1505BA">
              <w:rPr>
                <w:rFonts w:cs="Times New Roman"/>
                <w:color w:val="000000" w:themeColor="text1"/>
                <w:szCs w:val="24"/>
              </w:rPr>
              <w:t>Digital group sessions</w:t>
            </w:r>
          </w:p>
          <w:p w14:paraId="66B1DFBB" w14:textId="37863A42" w:rsidR="001505BA" w:rsidRPr="001505BA" w:rsidRDefault="001505BA" w:rsidP="001505BA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2</w:t>
            </w:r>
            <w:r w:rsidRPr="001505BA">
              <w:rPr>
                <w:rFonts w:cs="Times New Roman"/>
                <w:color w:val="000000" w:themeColor="text1"/>
                <w:szCs w:val="24"/>
              </w:rPr>
              <w:t xml:space="preserve">-hour virtual event, delivered via MS Teams. </w:t>
            </w:r>
          </w:p>
          <w:p w14:paraId="6B8A6F4F" w14:textId="25D9E583" w:rsidR="001505BA" w:rsidRDefault="001505BA" w:rsidP="001505BA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1505BA">
              <w:rPr>
                <w:rFonts w:cs="Times New Roman"/>
                <w:color w:val="000000" w:themeColor="text1"/>
                <w:szCs w:val="24"/>
              </w:rPr>
              <w:t xml:space="preserve">Minimum of </w:t>
            </w:r>
            <w:r w:rsidR="002F39D8">
              <w:rPr>
                <w:rFonts w:cs="Times New Roman"/>
                <w:color w:val="000000" w:themeColor="text1"/>
                <w:szCs w:val="24"/>
              </w:rPr>
              <w:t>20</w:t>
            </w:r>
            <w:r w:rsidRPr="001505BA">
              <w:rPr>
                <w:rFonts w:cs="Times New Roman"/>
                <w:color w:val="000000" w:themeColor="text1"/>
                <w:szCs w:val="24"/>
              </w:rPr>
              <w:t xml:space="preserve"> delegates.</w:t>
            </w:r>
          </w:p>
        </w:tc>
        <w:tc>
          <w:tcPr>
            <w:tcW w:w="600" w:type="pct"/>
          </w:tcPr>
          <w:p w14:paraId="38DD07BC" w14:textId="3989718D" w:rsidR="001505BA" w:rsidRDefault="001505BA" w:rsidP="00D91287">
            <w:pPr>
              <w:spacing w:before="70" w:after="300" w:line="276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£</w:t>
            </w:r>
            <w:r w:rsidR="00E401F2">
              <w:rPr>
                <w:rFonts w:cs="Arial"/>
                <w:color w:val="000000" w:themeColor="text1"/>
                <w:szCs w:val="24"/>
              </w:rPr>
              <w:t>25</w:t>
            </w:r>
            <w:r>
              <w:rPr>
                <w:rFonts w:cs="Arial"/>
                <w:color w:val="000000" w:themeColor="text1"/>
                <w:szCs w:val="24"/>
              </w:rPr>
              <w:t xml:space="preserve"> pp</w:t>
            </w:r>
          </w:p>
        </w:tc>
      </w:tr>
      <w:tr w:rsidR="001505BA" w:rsidRPr="0039201E" w14:paraId="735E73E7" w14:textId="77777777" w:rsidTr="00C8587E">
        <w:trPr>
          <w:trHeight w:val="2572"/>
        </w:trPr>
        <w:tc>
          <w:tcPr>
            <w:tcW w:w="835" w:type="pct"/>
            <w:shd w:val="clear" w:color="auto" w:fill="auto"/>
          </w:tcPr>
          <w:p w14:paraId="69C42A17" w14:textId="5B0C8C62" w:rsidR="001505BA" w:rsidRDefault="001505BA" w:rsidP="007D4F94">
            <w:pPr>
              <w:spacing w:before="70" w:after="300" w:line="276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lastRenderedPageBreak/>
              <w:t xml:space="preserve">Managing chronic pain in </w:t>
            </w:r>
            <w:r w:rsidR="009E534E">
              <w:rPr>
                <w:rFonts w:cs="Arial"/>
                <w:color w:val="000000" w:themeColor="text1"/>
                <w:szCs w:val="24"/>
              </w:rPr>
              <w:t>primary care</w:t>
            </w:r>
          </w:p>
        </w:tc>
        <w:tc>
          <w:tcPr>
            <w:tcW w:w="2064" w:type="pct"/>
            <w:shd w:val="clear" w:color="auto" w:fill="auto"/>
          </w:tcPr>
          <w:p w14:paraId="34C9E317" w14:textId="6385B431" w:rsidR="00BA4965" w:rsidRPr="00BA4965" w:rsidRDefault="00BA4965" w:rsidP="00BA4965">
            <w:pPr>
              <w:spacing w:before="70" w:after="300" w:line="276" w:lineRule="auto"/>
              <w:rPr>
                <w:rFonts w:cs="Arial"/>
                <w:color w:val="000000" w:themeColor="text1"/>
                <w:szCs w:val="24"/>
              </w:rPr>
            </w:pPr>
            <w:r w:rsidRPr="00BA4965">
              <w:rPr>
                <w:rFonts w:cs="Arial"/>
                <w:color w:val="000000" w:themeColor="text1"/>
                <w:szCs w:val="24"/>
              </w:rPr>
              <w:t>Managing chronic pain can be one of the most difficult</w:t>
            </w: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BA4965">
              <w:rPr>
                <w:rFonts w:cs="Arial"/>
                <w:color w:val="000000" w:themeColor="text1"/>
                <w:szCs w:val="24"/>
              </w:rPr>
              <w:t>aspects of primary care consultations for both doctors and</w:t>
            </w:r>
            <w:r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BA4965">
              <w:rPr>
                <w:rFonts w:cs="Arial"/>
                <w:color w:val="000000" w:themeColor="text1"/>
                <w:szCs w:val="24"/>
              </w:rPr>
              <w:t xml:space="preserve">patients. </w:t>
            </w:r>
          </w:p>
          <w:p w14:paraId="77EBA8AD" w14:textId="238F0903" w:rsidR="001505BA" w:rsidRDefault="00BA4965" w:rsidP="00BA4965">
            <w:pPr>
              <w:spacing w:before="70" w:after="300" w:line="276" w:lineRule="auto"/>
              <w:rPr>
                <w:rFonts w:cs="Arial"/>
                <w:color w:val="000000" w:themeColor="text1"/>
                <w:szCs w:val="24"/>
              </w:rPr>
            </w:pPr>
            <w:r w:rsidRPr="00BA4965">
              <w:rPr>
                <w:rFonts w:cs="Arial"/>
                <w:color w:val="000000" w:themeColor="text1"/>
                <w:szCs w:val="24"/>
              </w:rPr>
              <w:t xml:space="preserve">This </w:t>
            </w:r>
            <w:r w:rsidR="00E44BA3">
              <w:rPr>
                <w:rFonts w:cs="Arial"/>
                <w:color w:val="000000" w:themeColor="text1"/>
                <w:szCs w:val="24"/>
              </w:rPr>
              <w:t>course</w:t>
            </w:r>
            <w:r w:rsidR="00682902">
              <w:rPr>
                <w:rFonts w:cs="Arial"/>
                <w:color w:val="000000" w:themeColor="text1"/>
                <w:szCs w:val="24"/>
              </w:rPr>
              <w:t xml:space="preserve"> </w:t>
            </w:r>
            <w:r w:rsidRPr="00BA4965">
              <w:rPr>
                <w:rFonts w:cs="Arial"/>
                <w:color w:val="000000" w:themeColor="text1"/>
                <w:szCs w:val="24"/>
              </w:rPr>
              <w:t>covers:</w:t>
            </w:r>
          </w:p>
          <w:p w14:paraId="475F0F59" w14:textId="3B454A15" w:rsidR="00BA4965" w:rsidRPr="00BA4965" w:rsidRDefault="00BA4965" w:rsidP="00BA4965">
            <w:pPr>
              <w:pStyle w:val="ListParagraph"/>
              <w:numPr>
                <w:ilvl w:val="0"/>
                <w:numId w:val="37"/>
              </w:numPr>
              <w:spacing w:before="70" w:after="300"/>
              <w:rPr>
                <w:szCs w:val="24"/>
              </w:rPr>
            </w:pPr>
            <w:r w:rsidRPr="00BA4965">
              <w:rPr>
                <w:szCs w:val="24"/>
              </w:rPr>
              <w:t xml:space="preserve">An outline of the </w:t>
            </w:r>
            <w:r w:rsidR="00AA5B32">
              <w:rPr>
                <w:szCs w:val="24"/>
              </w:rPr>
              <w:t xml:space="preserve">NICE </w:t>
            </w:r>
            <w:r w:rsidRPr="00BA4965">
              <w:rPr>
                <w:szCs w:val="24"/>
              </w:rPr>
              <w:t>guidelines and what they mean for the</w:t>
            </w:r>
            <w:r>
              <w:rPr>
                <w:szCs w:val="24"/>
              </w:rPr>
              <w:t xml:space="preserve"> </w:t>
            </w:r>
            <w:r w:rsidRPr="00BA4965">
              <w:rPr>
                <w:szCs w:val="24"/>
              </w:rPr>
              <w:t>doctor and patient</w:t>
            </w:r>
          </w:p>
          <w:p w14:paraId="24DC9550" w14:textId="77777777" w:rsidR="00BA4965" w:rsidRPr="00BA4965" w:rsidRDefault="00BA4965" w:rsidP="00BA4965">
            <w:pPr>
              <w:pStyle w:val="ListParagraph"/>
              <w:numPr>
                <w:ilvl w:val="0"/>
                <w:numId w:val="37"/>
              </w:numPr>
              <w:spacing w:before="70" w:after="300"/>
              <w:rPr>
                <w:szCs w:val="24"/>
              </w:rPr>
            </w:pPr>
            <w:r w:rsidRPr="00BA4965">
              <w:rPr>
                <w:szCs w:val="24"/>
              </w:rPr>
              <w:t>New consultations skills to manage difficult interactions</w:t>
            </w:r>
          </w:p>
          <w:p w14:paraId="3D58D895" w14:textId="77777777" w:rsidR="00BA4965" w:rsidRPr="00BA4965" w:rsidRDefault="00BA4965" w:rsidP="00BA4965">
            <w:pPr>
              <w:pStyle w:val="ListParagraph"/>
              <w:numPr>
                <w:ilvl w:val="0"/>
                <w:numId w:val="37"/>
              </w:numPr>
              <w:spacing w:before="70" w:after="300"/>
              <w:rPr>
                <w:szCs w:val="24"/>
              </w:rPr>
            </w:pPr>
            <w:r w:rsidRPr="00BA4965">
              <w:rPr>
                <w:szCs w:val="24"/>
              </w:rPr>
              <w:t>The principles of medication use</w:t>
            </w:r>
          </w:p>
          <w:p w14:paraId="258FB229" w14:textId="1479A0A7" w:rsidR="00BA4965" w:rsidRPr="00BA4965" w:rsidRDefault="00BA4965" w:rsidP="00BA4965">
            <w:pPr>
              <w:pStyle w:val="ListParagraph"/>
              <w:numPr>
                <w:ilvl w:val="0"/>
                <w:numId w:val="37"/>
              </w:numPr>
              <w:spacing w:before="70" w:after="300"/>
              <w:rPr>
                <w:szCs w:val="24"/>
              </w:rPr>
            </w:pPr>
            <w:r w:rsidRPr="00BA4965">
              <w:rPr>
                <w:szCs w:val="24"/>
              </w:rPr>
              <w:t>Resources that can help digital delivery</w:t>
            </w:r>
          </w:p>
        </w:tc>
        <w:tc>
          <w:tcPr>
            <w:tcW w:w="1501" w:type="pct"/>
            <w:shd w:val="clear" w:color="auto" w:fill="auto"/>
          </w:tcPr>
          <w:p w14:paraId="2797776E" w14:textId="77777777" w:rsidR="00BA4965" w:rsidRPr="00BA4965" w:rsidRDefault="00BA4965" w:rsidP="00BA4965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BA4965">
              <w:rPr>
                <w:rFonts w:cs="Times New Roman"/>
                <w:color w:val="000000" w:themeColor="text1"/>
                <w:szCs w:val="24"/>
              </w:rPr>
              <w:t>Digital group sessions</w:t>
            </w:r>
          </w:p>
          <w:p w14:paraId="78CD7287" w14:textId="77777777" w:rsidR="00BA4965" w:rsidRPr="00BA4965" w:rsidRDefault="00BA4965" w:rsidP="00BA4965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BA4965">
              <w:rPr>
                <w:rFonts w:cs="Times New Roman"/>
                <w:color w:val="000000" w:themeColor="text1"/>
                <w:szCs w:val="24"/>
              </w:rPr>
              <w:t xml:space="preserve">2-hour virtual event, delivered via MS Teams. </w:t>
            </w:r>
          </w:p>
          <w:p w14:paraId="14B2A7C3" w14:textId="58A6826E" w:rsidR="001505BA" w:rsidRPr="001505BA" w:rsidRDefault="00BA4965" w:rsidP="00BA4965">
            <w:pPr>
              <w:spacing w:before="70" w:after="300" w:line="276" w:lineRule="auto"/>
              <w:rPr>
                <w:rFonts w:cs="Times New Roman"/>
                <w:color w:val="000000" w:themeColor="text1"/>
                <w:szCs w:val="24"/>
              </w:rPr>
            </w:pPr>
            <w:r w:rsidRPr="00BA4965">
              <w:rPr>
                <w:rFonts w:cs="Times New Roman"/>
                <w:color w:val="000000" w:themeColor="text1"/>
                <w:szCs w:val="24"/>
              </w:rPr>
              <w:t xml:space="preserve">Minimum of </w:t>
            </w:r>
            <w:r w:rsidR="002F39D8">
              <w:rPr>
                <w:rFonts w:cs="Times New Roman"/>
                <w:color w:val="000000" w:themeColor="text1"/>
                <w:szCs w:val="24"/>
              </w:rPr>
              <w:t>20</w:t>
            </w:r>
            <w:r w:rsidRPr="00BA4965">
              <w:rPr>
                <w:rFonts w:cs="Times New Roman"/>
                <w:color w:val="000000" w:themeColor="text1"/>
                <w:szCs w:val="24"/>
              </w:rPr>
              <w:t xml:space="preserve"> delegates.</w:t>
            </w:r>
          </w:p>
        </w:tc>
        <w:tc>
          <w:tcPr>
            <w:tcW w:w="600" w:type="pct"/>
          </w:tcPr>
          <w:p w14:paraId="24DAA7A7" w14:textId="76001F7B" w:rsidR="001505BA" w:rsidRDefault="00BA4965" w:rsidP="00D91287">
            <w:pPr>
              <w:spacing w:before="70" w:after="300" w:line="276" w:lineRule="auto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£</w:t>
            </w:r>
            <w:r w:rsidR="00E401F2">
              <w:rPr>
                <w:rFonts w:cs="Arial"/>
                <w:color w:val="000000" w:themeColor="text1"/>
                <w:szCs w:val="24"/>
              </w:rPr>
              <w:t>2</w:t>
            </w:r>
            <w:r>
              <w:rPr>
                <w:rFonts w:cs="Arial"/>
                <w:color w:val="000000" w:themeColor="text1"/>
                <w:szCs w:val="24"/>
              </w:rPr>
              <w:t>5 pp</w:t>
            </w:r>
          </w:p>
        </w:tc>
      </w:tr>
    </w:tbl>
    <w:p w14:paraId="58E61955" w14:textId="77777777" w:rsidR="00BD75D7" w:rsidRPr="0039201E" w:rsidRDefault="00BD75D7" w:rsidP="00687B43">
      <w:pPr>
        <w:spacing w:after="170" w:line="260" w:lineRule="exact"/>
        <w:ind w:right="-258"/>
      </w:pPr>
    </w:p>
    <w:sectPr w:rsidR="00BD75D7" w:rsidRPr="0039201E" w:rsidSect="00090F69">
      <w:footerReference w:type="default" r:id="rId12"/>
      <w:footerReference w:type="first" r:id="rId13"/>
      <w:pgSz w:w="16838" w:h="11906" w:orient="landscape" w:code="9"/>
      <w:pgMar w:top="567" w:right="567" w:bottom="566" w:left="567" w:header="720" w:footer="12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92A5" w14:textId="77777777" w:rsidR="00AD4576" w:rsidRDefault="00AD4576" w:rsidP="00855982">
      <w:pPr>
        <w:spacing w:after="0" w:line="240" w:lineRule="auto"/>
      </w:pPr>
      <w:r>
        <w:separator/>
      </w:r>
    </w:p>
    <w:p w14:paraId="5C8BBD66" w14:textId="77777777" w:rsidR="00AD4576" w:rsidRDefault="00AD4576"/>
    <w:p w14:paraId="77EDDCD3" w14:textId="77777777" w:rsidR="00AD4576" w:rsidRDefault="00AD4576" w:rsidP="003F44CD"/>
    <w:p w14:paraId="7B3D84A2" w14:textId="77777777" w:rsidR="00AD4576" w:rsidRDefault="00AD4576" w:rsidP="007858B7"/>
    <w:p w14:paraId="02162FF8" w14:textId="77777777" w:rsidR="00AD4576" w:rsidRDefault="00AD4576" w:rsidP="001A6D8D"/>
    <w:p w14:paraId="283AECFA" w14:textId="77777777" w:rsidR="00AD4576" w:rsidRDefault="00AD4576" w:rsidP="001A6D8D"/>
    <w:p w14:paraId="77A1E8EB" w14:textId="77777777" w:rsidR="00AD4576" w:rsidRDefault="00AD4576" w:rsidP="001A6D8D"/>
    <w:p w14:paraId="197175C3" w14:textId="77777777" w:rsidR="00AD4576" w:rsidRDefault="00AD4576"/>
    <w:p w14:paraId="30BF6D04" w14:textId="77777777" w:rsidR="00AD4576" w:rsidRDefault="00AD4576"/>
    <w:p w14:paraId="3AC60E9E" w14:textId="77777777" w:rsidR="00AD4576" w:rsidRDefault="00AD4576"/>
  </w:endnote>
  <w:endnote w:type="continuationSeparator" w:id="0">
    <w:p w14:paraId="2FE3655F" w14:textId="77777777" w:rsidR="00AD4576" w:rsidRDefault="00AD4576" w:rsidP="00855982">
      <w:pPr>
        <w:spacing w:after="0" w:line="240" w:lineRule="auto"/>
      </w:pPr>
      <w:r>
        <w:continuationSeparator/>
      </w:r>
    </w:p>
    <w:p w14:paraId="41B4C75A" w14:textId="77777777" w:rsidR="00AD4576" w:rsidRDefault="00AD4576"/>
    <w:p w14:paraId="4F50995E" w14:textId="77777777" w:rsidR="00AD4576" w:rsidRDefault="00AD4576" w:rsidP="003F44CD"/>
    <w:p w14:paraId="62188489" w14:textId="77777777" w:rsidR="00AD4576" w:rsidRDefault="00AD4576" w:rsidP="007858B7"/>
    <w:p w14:paraId="61A1705B" w14:textId="77777777" w:rsidR="00AD4576" w:rsidRDefault="00AD4576" w:rsidP="001A6D8D"/>
    <w:p w14:paraId="0960452E" w14:textId="77777777" w:rsidR="00AD4576" w:rsidRDefault="00AD4576" w:rsidP="001A6D8D"/>
    <w:p w14:paraId="4D4A9B53" w14:textId="77777777" w:rsidR="00AD4576" w:rsidRDefault="00AD4576" w:rsidP="001A6D8D"/>
    <w:p w14:paraId="4235A009" w14:textId="77777777" w:rsidR="00AD4576" w:rsidRDefault="00AD4576"/>
    <w:p w14:paraId="1E494DCB" w14:textId="77777777" w:rsidR="00AD4576" w:rsidRDefault="00AD4576"/>
    <w:p w14:paraId="7D3A1406" w14:textId="77777777" w:rsidR="00AD4576" w:rsidRDefault="00AD4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9514" w14:textId="77777777" w:rsidR="00DC179F" w:rsidRDefault="00494B77" w:rsidP="00494B77">
    <w:r w:rsidRPr="006924A3">
      <w:rPr>
        <w:b/>
        <w:noProof/>
      </w:rPr>
      <w:drawing>
        <wp:anchor distT="0" distB="0" distL="114300" distR="114300" simplePos="0" relativeHeight="251659264" behindDoc="1" locked="0" layoutInCell="1" allowOverlap="0" wp14:anchorId="759719DE" wp14:editId="40C861CB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512000" cy="727200"/>
          <wp:effectExtent l="0" t="0" r="0" b="0"/>
          <wp:wrapNone/>
          <wp:docPr id="12" name="Picture 12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susArthritis_RGB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127192"/>
      <w:temporary/>
      <w:showingPlcHdr/>
      <w15:appearance w15:val="hidden"/>
    </w:sdtPr>
    <w:sdtEndPr/>
    <w:sdtContent>
      <w:p w14:paraId="57A93211" w14:textId="77777777" w:rsidR="00494B77" w:rsidRDefault="00494B77">
        <w:pPr>
          <w:pStyle w:val="Footer"/>
        </w:pPr>
        <w:r>
          <w:t>[Type here]</w:t>
        </w:r>
      </w:p>
    </w:sdtContent>
  </w:sdt>
  <w:p w14:paraId="10F29543" w14:textId="77777777" w:rsidR="00494B77" w:rsidRDefault="00494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5D4A" w14:textId="77777777" w:rsidR="00AD4576" w:rsidRDefault="00AD4576">
      <w:r>
        <w:separator/>
      </w:r>
    </w:p>
  </w:footnote>
  <w:footnote w:type="continuationSeparator" w:id="0">
    <w:p w14:paraId="63052D9B" w14:textId="77777777" w:rsidR="00AD4576" w:rsidRDefault="00AD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874D8"/>
    <w:multiLevelType w:val="hybridMultilevel"/>
    <w:tmpl w:val="B9F20FEE"/>
    <w:lvl w:ilvl="0" w:tplc="9C807A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055A3F"/>
    <w:multiLevelType w:val="hybridMultilevel"/>
    <w:tmpl w:val="FB104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534F7"/>
    <w:multiLevelType w:val="hybridMultilevel"/>
    <w:tmpl w:val="13562842"/>
    <w:lvl w:ilvl="0" w:tplc="D1FA1A70">
      <w:start w:val="1"/>
      <w:numFmt w:val="decimal"/>
      <w:pStyle w:val="NumberedStyle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9144F5F"/>
    <w:multiLevelType w:val="hybridMultilevel"/>
    <w:tmpl w:val="8EE8D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32199"/>
    <w:multiLevelType w:val="hybridMultilevel"/>
    <w:tmpl w:val="47CCC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189693C"/>
    <w:multiLevelType w:val="hybridMultilevel"/>
    <w:tmpl w:val="DB9EC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F565CA8"/>
    <w:multiLevelType w:val="hybridMultilevel"/>
    <w:tmpl w:val="CF4E7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037E1"/>
    <w:multiLevelType w:val="hybridMultilevel"/>
    <w:tmpl w:val="EB04C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48178">
    <w:abstractNumId w:val="17"/>
  </w:num>
  <w:num w:numId="2" w16cid:durableId="15047370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8215091">
    <w:abstractNumId w:val="17"/>
  </w:num>
  <w:num w:numId="4" w16cid:durableId="1624655610">
    <w:abstractNumId w:val="17"/>
  </w:num>
  <w:num w:numId="5" w16cid:durableId="1824538405">
    <w:abstractNumId w:val="17"/>
  </w:num>
  <w:num w:numId="6" w16cid:durableId="1597787706">
    <w:abstractNumId w:val="17"/>
  </w:num>
  <w:num w:numId="7" w16cid:durableId="1281960481">
    <w:abstractNumId w:val="17"/>
  </w:num>
  <w:num w:numId="8" w16cid:durableId="950210957">
    <w:abstractNumId w:val="17"/>
  </w:num>
  <w:num w:numId="9" w16cid:durableId="1658916717">
    <w:abstractNumId w:val="17"/>
  </w:num>
  <w:num w:numId="10" w16cid:durableId="964390833">
    <w:abstractNumId w:val="17"/>
  </w:num>
  <w:num w:numId="11" w16cid:durableId="780075013">
    <w:abstractNumId w:val="17"/>
  </w:num>
  <w:num w:numId="12" w16cid:durableId="1523930425">
    <w:abstractNumId w:val="17"/>
  </w:num>
  <w:num w:numId="13" w16cid:durableId="761880218">
    <w:abstractNumId w:val="11"/>
  </w:num>
  <w:num w:numId="14" w16cid:durableId="1669138704">
    <w:abstractNumId w:val="23"/>
  </w:num>
  <w:num w:numId="15" w16cid:durableId="1948462594">
    <w:abstractNumId w:val="12"/>
  </w:num>
  <w:num w:numId="16" w16cid:durableId="1251084623">
    <w:abstractNumId w:val="13"/>
  </w:num>
  <w:num w:numId="17" w16cid:durableId="345132540">
    <w:abstractNumId w:val="9"/>
  </w:num>
  <w:num w:numId="18" w16cid:durableId="1902248744">
    <w:abstractNumId w:val="7"/>
  </w:num>
  <w:num w:numId="19" w16cid:durableId="625937999">
    <w:abstractNumId w:val="6"/>
  </w:num>
  <w:num w:numId="20" w16cid:durableId="370955069">
    <w:abstractNumId w:val="5"/>
  </w:num>
  <w:num w:numId="21" w16cid:durableId="1592474400">
    <w:abstractNumId w:val="4"/>
  </w:num>
  <w:num w:numId="22" w16cid:durableId="304092215">
    <w:abstractNumId w:val="8"/>
  </w:num>
  <w:num w:numId="23" w16cid:durableId="1863397918">
    <w:abstractNumId w:val="3"/>
  </w:num>
  <w:num w:numId="24" w16cid:durableId="2002732391">
    <w:abstractNumId w:val="2"/>
  </w:num>
  <w:num w:numId="25" w16cid:durableId="1878081512">
    <w:abstractNumId w:val="1"/>
  </w:num>
  <w:num w:numId="26" w16cid:durableId="1828546715">
    <w:abstractNumId w:val="0"/>
  </w:num>
  <w:num w:numId="27" w16cid:durableId="801190413">
    <w:abstractNumId w:val="14"/>
  </w:num>
  <w:num w:numId="28" w16cid:durableId="954991647">
    <w:abstractNumId w:val="18"/>
  </w:num>
  <w:num w:numId="29" w16cid:durableId="1437171564">
    <w:abstractNumId w:val="21"/>
  </w:num>
  <w:num w:numId="30" w16cid:durableId="1567838558">
    <w:abstractNumId w:val="10"/>
  </w:num>
  <w:num w:numId="31" w16cid:durableId="2039502452">
    <w:abstractNumId w:val="16"/>
  </w:num>
  <w:num w:numId="32" w16cid:durableId="1369179943">
    <w:abstractNumId w:val="24"/>
  </w:num>
  <w:num w:numId="33" w16cid:durableId="292105196">
    <w:abstractNumId w:val="25"/>
  </w:num>
  <w:num w:numId="34" w16cid:durableId="2005283722">
    <w:abstractNumId w:val="22"/>
  </w:num>
  <w:num w:numId="35" w16cid:durableId="525561487">
    <w:abstractNumId w:val="20"/>
  </w:num>
  <w:num w:numId="36" w16cid:durableId="1251767930">
    <w:abstractNumId w:val="15"/>
  </w:num>
  <w:num w:numId="37" w16cid:durableId="16428826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69"/>
    <w:rsid w:val="00022DAC"/>
    <w:rsid w:val="000560D6"/>
    <w:rsid w:val="00067A0E"/>
    <w:rsid w:val="00090F69"/>
    <w:rsid w:val="000E046A"/>
    <w:rsid w:val="000E46B3"/>
    <w:rsid w:val="000E700B"/>
    <w:rsid w:val="00102710"/>
    <w:rsid w:val="00104C58"/>
    <w:rsid w:val="00124294"/>
    <w:rsid w:val="00124E62"/>
    <w:rsid w:val="00132651"/>
    <w:rsid w:val="001505BA"/>
    <w:rsid w:val="00173E51"/>
    <w:rsid w:val="00195F16"/>
    <w:rsid w:val="001A6D8D"/>
    <w:rsid w:val="001B2D66"/>
    <w:rsid w:val="001D4362"/>
    <w:rsid w:val="001F0BA5"/>
    <w:rsid w:val="00203766"/>
    <w:rsid w:val="00277241"/>
    <w:rsid w:val="00295184"/>
    <w:rsid w:val="002A2E68"/>
    <w:rsid w:val="002C1060"/>
    <w:rsid w:val="002C2AA5"/>
    <w:rsid w:val="002C3C48"/>
    <w:rsid w:val="002D49D4"/>
    <w:rsid w:val="002E6971"/>
    <w:rsid w:val="002F39D8"/>
    <w:rsid w:val="00303956"/>
    <w:rsid w:val="00317E6F"/>
    <w:rsid w:val="00355084"/>
    <w:rsid w:val="003778AA"/>
    <w:rsid w:val="003847F4"/>
    <w:rsid w:val="003912CF"/>
    <w:rsid w:val="0039201E"/>
    <w:rsid w:val="003D415D"/>
    <w:rsid w:val="003F44CD"/>
    <w:rsid w:val="00416C5D"/>
    <w:rsid w:val="004567C2"/>
    <w:rsid w:val="00460245"/>
    <w:rsid w:val="004639EB"/>
    <w:rsid w:val="00494B77"/>
    <w:rsid w:val="004F2801"/>
    <w:rsid w:val="005142D2"/>
    <w:rsid w:val="0053187D"/>
    <w:rsid w:val="00535364"/>
    <w:rsid w:val="005468E3"/>
    <w:rsid w:val="00571E6C"/>
    <w:rsid w:val="005779C2"/>
    <w:rsid w:val="00577A06"/>
    <w:rsid w:val="005A6F4F"/>
    <w:rsid w:val="005B2015"/>
    <w:rsid w:val="005B34BE"/>
    <w:rsid w:val="005D587E"/>
    <w:rsid w:val="005F25B2"/>
    <w:rsid w:val="00606BA3"/>
    <w:rsid w:val="006305FB"/>
    <w:rsid w:val="00631CDD"/>
    <w:rsid w:val="00632ECE"/>
    <w:rsid w:val="00665D5D"/>
    <w:rsid w:val="00667C6E"/>
    <w:rsid w:val="00682902"/>
    <w:rsid w:val="00687B43"/>
    <w:rsid w:val="006924A3"/>
    <w:rsid w:val="006B08D9"/>
    <w:rsid w:val="006B6E61"/>
    <w:rsid w:val="006E1351"/>
    <w:rsid w:val="006E27FF"/>
    <w:rsid w:val="006F4255"/>
    <w:rsid w:val="00734FDA"/>
    <w:rsid w:val="007833A7"/>
    <w:rsid w:val="007858B7"/>
    <w:rsid w:val="007950FE"/>
    <w:rsid w:val="007965FD"/>
    <w:rsid w:val="00796ED5"/>
    <w:rsid w:val="00797CA4"/>
    <w:rsid w:val="007A535A"/>
    <w:rsid w:val="007B647B"/>
    <w:rsid w:val="007C6F63"/>
    <w:rsid w:val="007C6FE5"/>
    <w:rsid w:val="007D4F94"/>
    <w:rsid w:val="007D7EAD"/>
    <w:rsid w:val="007F7759"/>
    <w:rsid w:val="00811983"/>
    <w:rsid w:val="00812E36"/>
    <w:rsid w:val="00821F77"/>
    <w:rsid w:val="00830D2C"/>
    <w:rsid w:val="00840D60"/>
    <w:rsid w:val="00855982"/>
    <w:rsid w:val="00862E16"/>
    <w:rsid w:val="0087307C"/>
    <w:rsid w:val="008A3A6D"/>
    <w:rsid w:val="008D555E"/>
    <w:rsid w:val="008E1F85"/>
    <w:rsid w:val="008E2D85"/>
    <w:rsid w:val="008F71B4"/>
    <w:rsid w:val="009005E5"/>
    <w:rsid w:val="00914079"/>
    <w:rsid w:val="00930BDD"/>
    <w:rsid w:val="00942F5B"/>
    <w:rsid w:val="00995727"/>
    <w:rsid w:val="009A4EAF"/>
    <w:rsid w:val="009B0B02"/>
    <w:rsid w:val="009E534E"/>
    <w:rsid w:val="00A017E4"/>
    <w:rsid w:val="00A10484"/>
    <w:rsid w:val="00A1271D"/>
    <w:rsid w:val="00A638A0"/>
    <w:rsid w:val="00A72E6B"/>
    <w:rsid w:val="00AA5B32"/>
    <w:rsid w:val="00AA7A6D"/>
    <w:rsid w:val="00AD1491"/>
    <w:rsid w:val="00AD4576"/>
    <w:rsid w:val="00B10A4C"/>
    <w:rsid w:val="00B12C25"/>
    <w:rsid w:val="00B6633E"/>
    <w:rsid w:val="00BA4965"/>
    <w:rsid w:val="00BB3FE9"/>
    <w:rsid w:val="00BC5F25"/>
    <w:rsid w:val="00BD75D7"/>
    <w:rsid w:val="00BE6719"/>
    <w:rsid w:val="00BF0553"/>
    <w:rsid w:val="00C34ABE"/>
    <w:rsid w:val="00C6391D"/>
    <w:rsid w:val="00C650B6"/>
    <w:rsid w:val="00C72561"/>
    <w:rsid w:val="00C8587E"/>
    <w:rsid w:val="00C87CBF"/>
    <w:rsid w:val="00CC083E"/>
    <w:rsid w:val="00CD30FC"/>
    <w:rsid w:val="00CF20D9"/>
    <w:rsid w:val="00CF540D"/>
    <w:rsid w:val="00D007FB"/>
    <w:rsid w:val="00D06201"/>
    <w:rsid w:val="00D3280B"/>
    <w:rsid w:val="00D428BB"/>
    <w:rsid w:val="00D45F0A"/>
    <w:rsid w:val="00D8051B"/>
    <w:rsid w:val="00D85407"/>
    <w:rsid w:val="00D91287"/>
    <w:rsid w:val="00DC179F"/>
    <w:rsid w:val="00DC61F8"/>
    <w:rsid w:val="00DD01AC"/>
    <w:rsid w:val="00E16305"/>
    <w:rsid w:val="00E401F2"/>
    <w:rsid w:val="00E44BA3"/>
    <w:rsid w:val="00E50ACE"/>
    <w:rsid w:val="00E6166E"/>
    <w:rsid w:val="00E61689"/>
    <w:rsid w:val="00E86025"/>
    <w:rsid w:val="00E86E00"/>
    <w:rsid w:val="00E926FB"/>
    <w:rsid w:val="00EB1853"/>
    <w:rsid w:val="00EE328B"/>
    <w:rsid w:val="00F01C76"/>
    <w:rsid w:val="00F07BBC"/>
    <w:rsid w:val="00F105B4"/>
    <w:rsid w:val="00F74720"/>
    <w:rsid w:val="00F75C3F"/>
    <w:rsid w:val="00F86959"/>
    <w:rsid w:val="00F92D15"/>
    <w:rsid w:val="00F93A32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9C352"/>
  <w15:chartTrackingRefBased/>
  <w15:docId w15:val="{9D7FBB3B-6AF8-4C24-BD02-F5E14638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195F16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5D7"/>
    <w:pPr>
      <w:spacing w:before="480" w:after="120" w:line="276" w:lineRule="auto"/>
      <w:outlineLvl w:val="0"/>
    </w:pPr>
    <w:rPr>
      <w:rFonts w:cs="Arial"/>
      <w:b/>
      <w:color w:val="0073BE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D75D7"/>
    <w:pPr>
      <w:outlineLvl w:val="1"/>
    </w:pPr>
    <w:rPr>
      <w:color w:val="EB64A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11983"/>
    <w:pPr>
      <w:spacing w:after="0" w:line="240" w:lineRule="auto"/>
      <w:contextualSpacing/>
    </w:pPr>
    <w:rPr>
      <w:rFonts w:eastAsiaTheme="majorEastAsia" w:cs="Arial"/>
      <w:b/>
      <w:noProof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811983"/>
    <w:rPr>
      <w:rFonts w:ascii="Arial" w:eastAsiaTheme="majorEastAsia" w:hAnsi="Arial" w:cs="Arial"/>
      <w:b/>
      <w:noProof/>
      <w:color w:val="000000" w:themeColor="text1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BD75D7"/>
    <w:rPr>
      <w:rFonts w:ascii="Arial" w:hAnsi="Arial" w:cs="Arial"/>
      <w:b/>
      <w:color w:val="0073B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75D7"/>
    <w:rPr>
      <w:rFonts w:ascii="Arial" w:hAnsi="Arial" w:cs="Arial"/>
      <w:b/>
      <w:color w:val="EB64A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195F16"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rsid w:val="00195F16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aliases w:val="Bullet Style"/>
    <w:basedOn w:val="Normal"/>
    <w:link w:val="ListParagraphChar"/>
    <w:uiPriority w:val="34"/>
    <w:unhideWhenUsed/>
    <w:qFormat/>
    <w:rsid w:val="001A6D8D"/>
    <w:pPr>
      <w:numPr>
        <w:numId w:val="30"/>
      </w:numPr>
      <w:spacing w:line="276" w:lineRule="auto"/>
      <w:contextualSpacing/>
    </w:pPr>
    <w:rPr>
      <w:rFonts w:cs="Arial"/>
      <w:color w:val="000000" w:themeColor="text1"/>
    </w:rPr>
  </w:style>
  <w:style w:type="table" w:customStyle="1" w:styleId="ArthritisOrange1">
    <w:name w:val="Arthritis_Orange1"/>
    <w:basedOn w:val="TableNormal"/>
    <w:next w:val="TableGrid"/>
    <w:uiPriority w:val="59"/>
    <w:rsid w:val="00295184"/>
    <w:pPr>
      <w:spacing w:after="0" w:line="260" w:lineRule="exact"/>
    </w:pPr>
    <w:rPr>
      <w:rFonts w:eastAsia="Arial"/>
      <w:color w:val="404545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i w:val="0"/>
        <w:color w:val="FFFFFF"/>
      </w:rPr>
      <w:tblPr/>
      <w:tcPr>
        <w:shd w:val="clear" w:color="auto" w:fill="F55212"/>
        <w:vAlign w:val="center"/>
      </w:tcPr>
    </w:tblStylePr>
    <w:tblStylePr w:type="lastRow">
      <w:tblPr/>
      <w:tcPr>
        <w:tcMar>
          <w:top w:w="0" w:type="nil"/>
          <w:left w:w="0" w:type="nil"/>
          <w:bottom w:w="0" w:type="dxa"/>
          <w:right w:w="0" w:type="nil"/>
        </w:tcMar>
      </w:tcPr>
    </w:tblStylePr>
  </w:style>
  <w:style w:type="table" w:customStyle="1" w:styleId="ArthritisRed">
    <w:name w:val="Arthritis Red"/>
    <w:basedOn w:val="TableNormal"/>
    <w:uiPriority w:val="99"/>
    <w:rsid w:val="00295184"/>
    <w:pPr>
      <w:spacing w:after="0" w:line="260" w:lineRule="exact"/>
    </w:pPr>
    <w:rPr>
      <w:rFonts w:eastAsia="Arial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blStylePr w:type="firstRow">
      <w:pPr>
        <w:jc w:val="left"/>
      </w:pPr>
      <w:rPr>
        <w:b/>
        <w:color w:val="FFFFFF"/>
      </w:rPr>
      <w:tblPr/>
      <w:tcPr>
        <w:shd w:val="clear" w:color="auto" w:fill="404545"/>
        <w:vAlign w:val="center"/>
      </w:tcPr>
    </w:tblStylePr>
  </w:style>
  <w:style w:type="table" w:styleId="TableGrid">
    <w:name w:val="Table Grid"/>
    <w:basedOn w:val="TableNormal"/>
    <w:uiPriority w:val="39"/>
    <w:rsid w:val="005D587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30A0"/>
      </w:tcPr>
    </w:tblStylePr>
  </w:style>
  <w:style w:type="paragraph" w:customStyle="1" w:styleId="NumberedStyle">
    <w:name w:val="Numbered Style"/>
    <w:basedOn w:val="ListParagraph"/>
    <w:link w:val="NumberedStyleChar"/>
    <w:qFormat/>
    <w:rsid w:val="001A6D8D"/>
    <w:pPr>
      <w:numPr>
        <w:numId w:val="31"/>
      </w:numPr>
    </w:pPr>
  </w:style>
  <w:style w:type="character" w:customStyle="1" w:styleId="ListParagraphChar">
    <w:name w:val="List Paragraph Char"/>
    <w:aliases w:val="Bullet Style Char"/>
    <w:basedOn w:val="DefaultParagraphFont"/>
    <w:link w:val="ListParagraph"/>
    <w:uiPriority w:val="34"/>
    <w:rsid w:val="001A6D8D"/>
    <w:rPr>
      <w:rFonts w:ascii="Arial" w:hAnsi="Arial" w:cs="Arial"/>
      <w:color w:val="000000" w:themeColor="text1"/>
    </w:rPr>
  </w:style>
  <w:style w:type="character" w:customStyle="1" w:styleId="NumberedStyleChar">
    <w:name w:val="Numbered Style Char"/>
    <w:basedOn w:val="ListParagraphChar"/>
    <w:link w:val="NumberedStyle"/>
    <w:rsid w:val="001A6D8D"/>
    <w:rPr>
      <w:rFonts w:ascii="Arial" w:hAnsi="Arial" w:cs="Arial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8E1F8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90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fessionalEngagement@VersusArthriti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ersusArthritis.org/Core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andrew\Documents\Custom%20Office%20Templates\VA%20Std%20Layout%20Blue%20and%20Pink%20(Portrait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eb3910-d6f4-46af-9426-90e8a5a93454">
      <UserInfo>
        <DisplayName>Millie Love</DisplayName>
        <AccountId>11924</AccountId>
        <AccountType/>
      </UserInfo>
    </SharedWithUsers>
    <TaxCatchAll xmlns="ea2bb7f1-1414-46bc-96a3-2f333ceccfee" xsi:nil="true"/>
    <lcf76f155ced4ddcb4097134ff3c332f xmlns="f746a8e1-5c04-429b-afbf-bccdf243fd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53F4D6A17F64890BBF84D9C95EF92" ma:contentTypeVersion="16" ma:contentTypeDescription="Create a new document." ma:contentTypeScope="" ma:versionID="78b8b79dbde45fa7b57d0733297ac0a1">
  <xsd:schema xmlns:xsd="http://www.w3.org/2001/XMLSchema" xmlns:xs="http://www.w3.org/2001/XMLSchema" xmlns:p="http://schemas.microsoft.com/office/2006/metadata/properties" xmlns:ns2="92eb3910-d6f4-46af-9426-90e8a5a93454" xmlns:ns3="f746a8e1-5c04-429b-afbf-bccdf243fd30" xmlns:ns4="ea2bb7f1-1414-46bc-96a3-2f333ceccfee" targetNamespace="http://schemas.microsoft.com/office/2006/metadata/properties" ma:root="true" ma:fieldsID="b2124bf090fe7b5d87d7fafa0ccd3aa8" ns2:_="" ns3:_="" ns4:_="">
    <xsd:import namespace="92eb3910-d6f4-46af-9426-90e8a5a93454"/>
    <xsd:import namespace="f746a8e1-5c04-429b-afbf-bccdf243fd30"/>
    <xsd:import namespace="ea2bb7f1-1414-46bc-96a3-2f333ceccf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b3910-d6f4-46af-9426-90e8a5a934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a8e1-5c04-429b-afbf-bccdf243f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3b8a2f-4245-402b-8315-c1079d017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bb7f1-1414-46bc-96a3-2f333ceccfe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15a979-2a05-4b2b-be0c-c8b74a0a43d6}" ma:internalName="TaxCatchAll" ma:showField="CatchAllData" ma:web="8e4bf9bd-f948-4a1f-874a-8cc36ee5a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92eb3910-d6f4-46af-9426-90e8a5a93454"/>
    <ds:schemaRef ds:uri="ea2bb7f1-1414-46bc-96a3-2f333ceccfee"/>
    <ds:schemaRef ds:uri="f746a8e1-5c04-429b-afbf-bccdf243fd30"/>
  </ds:schemaRefs>
</ds:datastoreItem>
</file>

<file path=customXml/itemProps2.xml><?xml version="1.0" encoding="utf-8"?>
<ds:datastoreItem xmlns:ds="http://schemas.openxmlformats.org/officeDocument/2006/customXml" ds:itemID="{B9C9ECFC-87BF-4B2E-9620-1CFB16E82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DCE2C-EA76-4472-B39B-B482FC0CF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b3910-d6f4-46af-9426-90e8a5a93454"/>
    <ds:schemaRef ds:uri="f746a8e1-5c04-429b-afbf-bccdf243fd30"/>
    <ds:schemaRef ds:uri="ea2bb7f1-1414-46bc-96a3-2f333cecc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Std Layout Blue and Pink (Portrait)</Template>
  <TotalTime>6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Andrew</dc:creator>
  <cp:lastModifiedBy>Donna Andrew</cp:lastModifiedBy>
  <cp:revision>7</cp:revision>
  <dcterms:created xsi:type="dcterms:W3CDTF">2022-06-16T08:35:00Z</dcterms:created>
  <dcterms:modified xsi:type="dcterms:W3CDTF">2022-06-27T08:49:00Z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0x01010052253F4D6A17F64890BBF84D9C95EF92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