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74BD" w14:textId="77777777" w:rsidR="00F21187" w:rsidRDefault="00F21187" w:rsidP="00F21187">
      <w:pPr>
        <w:pStyle w:val="Title"/>
        <w:rPr>
          <w:noProof w:val="0"/>
        </w:rPr>
      </w:pPr>
      <w:r>
        <w:rPr>
          <w:noProof w:val="0"/>
        </w:rPr>
        <w:t>The State of Musculoskeletal Health 2021</w:t>
      </w:r>
    </w:p>
    <w:p w14:paraId="05426D5A" w14:textId="77777777" w:rsidR="00F21187" w:rsidRDefault="00F21187" w:rsidP="00F21187">
      <w:pPr>
        <w:pStyle w:val="Title"/>
        <w:rPr>
          <w:noProof w:val="0"/>
        </w:rPr>
      </w:pPr>
    </w:p>
    <w:sdt>
      <w:sdtPr>
        <w:rPr>
          <w:rFonts w:cstheme="minorBidi"/>
          <w:b w:val="0"/>
          <w:color w:val="auto"/>
          <w:sz w:val="24"/>
          <w:szCs w:val="22"/>
        </w:rPr>
        <w:id w:val="-1924635639"/>
        <w:docPartObj>
          <w:docPartGallery w:val="Table of Contents"/>
          <w:docPartUnique/>
        </w:docPartObj>
      </w:sdtPr>
      <w:sdtEndPr/>
      <w:sdtContent>
        <w:p w14:paraId="6069BE61" w14:textId="77777777" w:rsidR="00F21187" w:rsidRDefault="00F21187" w:rsidP="00F21187">
          <w:pPr>
            <w:pStyle w:val="TOCHeading"/>
          </w:pPr>
          <w:r>
            <w:t>Contents</w:t>
          </w:r>
        </w:p>
        <w:p w14:paraId="53B98147" w14:textId="77777777" w:rsidR="00F21187" w:rsidRDefault="00F21187" w:rsidP="00F21187">
          <w:pPr>
            <w:pStyle w:val="TOC1"/>
            <w:tabs>
              <w:tab w:val="right" w:leader="dot" w:pos="10763"/>
            </w:tabs>
            <w:rPr>
              <w:rFonts w:asciiTheme="minorHAnsi" w:hAnsiTheme="minorHAnsi"/>
              <w:noProof/>
              <w:sz w:val="22"/>
              <w:lang w:eastAsia="en-GB"/>
            </w:rPr>
          </w:pPr>
          <w:r>
            <w:fldChar w:fldCharType="begin"/>
          </w:r>
          <w:r>
            <w:instrText xml:space="preserve"> TOC \o "1-3" \h \z \u </w:instrText>
          </w:r>
          <w:r>
            <w:fldChar w:fldCharType="separate"/>
          </w:r>
          <w:hyperlink r:id="rId8" w:anchor="_Toc85547743" w:history="1">
            <w:r>
              <w:rPr>
                <w:rStyle w:val="Hyperlink"/>
                <w:noProof/>
              </w:rPr>
              <w:t>01 Introduction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_Toc85547743 \h </w:instrText>
            </w:r>
            <w:r>
              <w:rPr>
                <w:rStyle w:val="Hyperlink"/>
                <w:noProof/>
                <w:webHidden/>
                <w:color w:val="auto"/>
              </w:rPr>
            </w:r>
            <w:r>
              <w:rPr>
                <w:rStyle w:val="Hyperlink"/>
                <w:noProof/>
                <w:webHidden/>
                <w:color w:val="auto"/>
              </w:rPr>
              <w:fldChar w:fldCharType="separate"/>
            </w:r>
            <w:r>
              <w:rPr>
                <w:rStyle w:val="Hyperlink"/>
                <w:noProof/>
                <w:webHidden/>
                <w:color w:val="auto"/>
              </w:rPr>
              <w:t>2</w:t>
            </w:r>
            <w:r>
              <w:rPr>
                <w:rStyle w:val="Hyperlink"/>
                <w:noProof/>
                <w:webHidden/>
                <w:color w:val="auto"/>
              </w:rPr>
              <w:fldChar w:fldCharType="end"/>
            </w:r>
          </w:hyperlink>
        </w:p>
        <w:p w14:paraId="0EA16C2B" w14:textId="77777777" w:rsidR="00F21187" w:rsidRDefault="00640A46" w:rsidP="00F21187">
          <w:pPr>
            <w:pStyle w:val="TOC2"/>
            <w:tabs>
              <w:tab w:val="right" w:leader="dot" w:pos="10763"/>
            </w:tabs>
            <w:rPr>
              <w:rFonts w:asciiTheme="minorHAnsi" w:hAnsiTheme="minorHAnsi"/>
              <w:noProof/>
              <w:sz w:val="22"/>
              <w:lang w:eastAsia="en-GB"/>
            </w:rPr>
          </w:pPr>
          <w:hyperlink r:id="rId9" w:anchor="_Toc85547744" w:history="1">
            <w:r w:rsidR="00F21187">
              <w:rPr>
                <w:rStyle w:val="Hyperlink"/>
                <w:noProof/>
              </w:rPr>
              <w:t>What is the State of Musculoskeletal Health?</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_Toc85547744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2</w:t>
            </w:r>
            <w:r w:rsidR="00F21187">
              <w:rPr>
                <w:rStyle w:val="Hyperlink"/>
                <w:noProof/>
                <w:webHidden/>
                <w:color w:val="auto"/>
              </w:rPr>
              <w:fldChar w:fldCharType="end"/>
            </w:r>
          </w:hyperlink>
        </w:p>
        <w:p w14:paraId="61BF6C42" w14:textId="77777777" w:rsidR="00F21187" w:rsidRDefault="00640A46" w:rsidP="00F21187">
          <w:pPr>
            <w:pStyle w:val="TOC2"/>
            <w:tabs>
              <w:tab w:val="right" w:leader="dot" w:pos="10763"/>
            </w:tabs>
            <w:rPr>
              <w:rFonts w:asciiTheme="minorHAnsi" w:hAnsiTheme="minorHAnsi"/>
              <w:noProof/>
              <w:sz w:val="22"/>
              <w:lang w:eastAsia="en-GB"/>
            </w:rPr>
          </w:pPr>
          <w:hyperlink r:id="rId10" w:anchor="_Toc85547745" w:history="1">
            <w:r w:rsidR="00F21187">
              <w:rPr>
                <w:rStyle w:val="Hyperlink"/>
                <w:noProof/>
              </w:rPr>
              <w:t>Who is it for?</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_Toc85547745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2</w:t>
            </w:r>
            <w:r w:rsidR="00F21187">
              <w:rPr>
                <w:rStyle w:val="Hyperlink"/>
                <w:noProof/>
                <w:webHidden/>
                <w:color w:val="auto"/>
              </w:rPr>
              <w:fldChar w:fldCharType="end"/>
            </w:r>
          </w:hyperlink>
        </w:p>
        <w:p w14:paraId="07A91A7D" w14:textId="77777777" w:rsidR="00F21187" w:rsidRDefault="00640A46" w:rsidP="00F21187">
          <w:pPr>
            <w:pStyle w:val="TOC2"/>
            <w:tabs>
              <w:tab w:val="right" w:leader="dot" w:pos="10763"/>
            </w:tabs>
            <w:rPr>
              <w:rFonts w:asciiTheme="minorHAnsi" w:hAnsiTheme="minorHAnsi"/>
              <w:noProof/>
              <w:sz w:val="22"/>
              <w:lang w:eastAsia="en-GB"/>
            </w:rPr>
          </w:pPr>
          <w:hyperlink r:id="rId11" w:anchor="_Toc85547746" w:history="1">
            <w:r w:rsidR="00F21187">
              <w:rPr>
                <w:rStyle w:val="Hyperlink"/>
                <w:noProof/>
              </w:rPr>
              <w:t>About Versus Arthritis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_Toc85547746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2</w:t>
            </w:r>
            <w:r w:rsidR="00F21187">
              <w:rPr>
                <w:rStyle w:val="Hyperlink"/>
                <w:noProof/>
                <w:webHidden/>
                <w:color w:val="auto"/>
              </w:rPr>
              <w:fldChar w:fldCharType="end"/>
            </w:r>
          </w:hyperlink>
        </w:p>
        <w:p w14:paraId="7D69E035" w14:textId="77777777" w:rsidR="00F21187" w:rsidRDefault="00640A46" w:rsidP="00F21187">
          <w:pPr>
            <w:pStyle w:val="TOC1"/>
            <w:tabs>
              <w:tab w:val="right" w:leader="dot" w:pos="10763"/>
            </w:tabs>
            <w:rPr>
              <w:rFonts w:asciiTheme="minorHAnsi" w:hAnsiTheme="minorHAnsi"/>
              <w:noProof/>
              <w:sz w:val="22"/>
              <w:lang w:eastAsia="en-GB"/>
            </w:rPr>
          </w:pPr>
          <w:hyperlink r:id="rId12" w:anchor="_Toc85547747" w:history="1">
            <w:r w:rsidR="00F21187">
              <w:rPr>
                <w:rStyle w:val="Hyperlink"/>
                <w:noProof/>
              </w:rPr>
              <w:t>02 Methods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_Toc85547747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3</w:t>
            </w:r>
            <w:r w:rsidR="00F21187">
              <w:rPr>
                <w:rStyle w:val="Hyperlink"/>
                <w:noProof/>
                <w:webHidden/>
                <w:color w:val="auto"/>
              </w:rPr>
              <w:fldChar w:fldCharType="end"/>
            </w:r>
          </w:hyperlink>
        </w:p>
        <w:p w14:paraId="61CB574D" w14:textId="77777777" w:rsidR="00F21187" w:rsidRDefault="00640A46" w:rsidP="00F21187">
          <w:pPr>
            <w:pStyle w:val="TOC1"/>
            <w:tabs>
              <w:tab w:val="right" w:leader="dot" w:pos="10763"/>
            </w:tabs>
            <w:rPr>
              <w:rFonts w:asciiTheme="minorHAnsi" w:hAnsiTheme="minorHAnsi"/>
              <w:noProof/>
              <w:sz w:val="22"/>
              <w:lang w:eastAsia="en-GB"/>
            </w:rPr>
          </w:pPr>
          <w:hyperlink r:id="rId13" w:anchor="_Toc85547748" w:history="1">
            <w:r w:rsidR="00F21187">
              <w:rPr>
                <w:rStyle w:val="Hyperlink"/>
                <w:noProof/>
              </w:rPr>
              <w:t>03 What are musculoskeletal conditions?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_Toc85547748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4</w:t>
            </w:r>
            <w:r w:rsidR="00F21187">
              <w:rPr>
                <w:rStyle w:val="Hyperlink"/>
                <w:noProof/>
                <w:webHidden/>
                <w:color w:val="auto"/>
              </w:rPr>
              <w:fldChar w:fldCharType="end"/>
            </w:r>
          </w:hyperlink>
        </w:p>
        <w:p w14:paraId="50E0FD2A" w14:textId="77777777" w:rsidR="00F21187" w:rsidRDefault="00640A46" w:rsidP="00F21187">
          <w:pPr>
            <w:pStyle w:val="TOC1"/>
            <w:tabs>
              <w:tab w:val="right" w:leader="dot" w:pos="10763"/>
            </w:tabs>
            <w:rPr>
              <w:rFonts w:asciiTheme="minorHAnsi" w:hAnsiTheme="minorHAnsi"/>
              <w:noProof/>
              <w:sz w:val="22"/>
              <w:lang w:eastAsia="en-GB"/>
            </w:rPr>
          </w:pPr>
          <w:hyperlink r:id="rId14" w:anchor="_Toc85547749" w:history="1">
            <w:r w:rsidR="00F21187">
              <w:rPr>
                <w:rStyle w:val="Hyperlink"/>
                <w:noProof/>
              </w:rPr>
              <w:t>04 How common are they?</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_Toc85547749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5</w:t>
            </w:r>
            <w:r w:rsidR="00F21187">
              <w:rPr>
                <w:rStyle w:val="Hyperlink"/>
                <w:noProof/>
                <w:webHidden/>
                <w:color w:val="auto"/>
              </w:rPr>
              <w:fldChar w:fldCharType="end"/>
            </w:r>
          </w:hyperlink>
        </w:p>
        <w:p w14:paraId="625D0614" w14:textId="77777777" w:rsidR="00F21187" w:rsidRDefault="00640A46" w:rsidP="00F21187">
          <w:pPr>
            <w:pStyle w:val="TOC2"/>
            <w:tabs>
              <w:tab w:val="right" w:leader="dot" w:pos="10763"/>
            </w:tabs>
            <w:rPr>
              <w:rFonts w:asciiTheme="minorHAnsi" w:hAnsiTheme="minorHAnsi"/>
              <w:noProof/>
              <w:sz w:val="22"/>
              <w:lang w:eastAsia="en-GB"/>
            </w:rPr>
          </w:pPr>
          <w:hyperlink r:id="rId15" w:anchor="_Toc85547750" w:history="1">
            <w:r w:rsidR="00F21187">
              <w:rPr>
                <w:rStyle w:val="Hyperlink"/>
                <w:noProof/>
              </w:rPr>
              <w:t>Long-term MSK conditions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_Toc85547750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5</w:t>
            </w:r>
            <w:r w:rsidR="00F21187">
              <w:rPr>
                <w:rStyle w:val="Hyperlink"/>
                <w:noProof/>
                <w:webHidden/>
                <w:color w:val="auto"/>
              </w:rPr>
              <w:fldChar w:fldCharType="end"/>
            </w:r>
          </w:hyperlink>
        </w:p>
        <w:p w14:paraId="25BF1498" w14:textId="77777777" w:rsidR="00F21187" w:rsidRDefault="00640A46" w:rsidP="00F21187">
          <w:pPr>
            <w:pStyle w:val="TOC2"/>
            <w:tabs>
              <w:tab w:val="right" w:leader="dot" w:pos="10763"/>
            </w:tabs>
            <w:rPr>
              <w:rFonts w:asciiTheme="minorHAnsi" w:hAnsiTheme="minorHAnsi"/>
              <w:noProof/>
              <w:sz w:val="22"/>
              <w:lang w:eastAsia="en-GB"/>
            </w:rPr>
          </w:pPr>
          <w:hyperlink r:id="rId16" w:anchor="_Toc85547751" w:history="1">
            <w:r w:rsidR="00F21187">
              <w:rPr>
                <w:rStyle w:val="Hyperlink"/>
                <w:noProof/>
              </w:rPr>
              <w:t>Children and long-term conditions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_Toc85547751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6</w:t>
            </w:r>
            <w:r w:rsidR="00F21187">
              <w:rPr>
                <w:rStyle w:val="Hyperlink"/>
                <w:noProof/>
                <w:webHidden/>
                <w:color w:val="auto"/>
              </w:rPr>
              <w:fldChar w:fldCharType="end"/>
            </w:r>
          </w:hyperlink>
        </w:p>
        <w:p w14:paraId="2E85D134" w14:textId="77777777" w:rsidR="00F21187" w:rsidRDefault="00640A46" w:rsidP="00F21187">
          <w:pPr>
            <w:pStyle w:val="TOC2"/>
            <w:tabs>
              <w:tab w:val="right" w:leader="dot" w:pos="10763"/>
            </w:tabs>
            <w:rPr>
              <w:rFonts w:asciiTheme="minorHAnsi" w:hAnsiTheme="minorHAnsi"/>
              <w:noProof/>
              <w:sz w:val="22"/>
              <w:lang w:eastAsia="en-GB"/>
            </w:rPr>
          </w:pPr>
          <w:hyperlink r:id="rId17" w:anchor="_Toc85547752" w:history="1">
            <w:r w:rsidR="00F21187">
              <w:rPr>
                <w:rStyle w:val="Hyperlink"/>
                <w:noProof/>
              </w:rPr>
              <w:t>Condition specific estimates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_Toc85547752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6</w:t>
            </w:r>
            <w:r w:rsidR="00F21187">
              <w:rPr>
                <w:rStyle w:val="Hyperlink"/>
                <w:noProof/>
                <w:webHidden/>
                <w:color w:val="auto"/>
              </w:rPr>
              <w:fldChar w:fldCharType="end"/>
            </w:r>
          </w:hyperlink>
        </w:p>
        <w:p w14:paraId="5EB78464" w14:textId="77777777" w:rsidR="00F21187" w:rsidRDefault="00640A46" w:rsidP="00F21187">
          <w:pPr>
            <w:pStyle w:val="TOC1"/>
            <w:tabs>
              <w:tab w:val="right" w:leader="dot" w:pos="10763"/>
            </w:tabs>
            <w:rPr>
              <w:rFonts w:asciiTheme="minorHAnsi" w:hAnsiTheme="minorHAnsi"/>
              <w:noProof/>
              <w:sz w:val="22"/>
              <w:lang w:eastAsia="en-GB"/>
            </w:rPr>
          </w:pPr>
          <w:hyperlink r:id="rId18" w:anchor="_Toc85547753" w:history="1">
            <w:r w:rsidR="00F21187">
              <w:rPr>
                <w:rStyle w:val="Hyperlink"/>
                <w:noProof/>
              </w:rPr>
              <w:t>05 Variations by Deprivation and Ethnicity</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_Toc85547753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6</w:t>
            </w:r>
            <w:r w:rsidR="00F21187">
              <w:rPr>
                <w:rStyle w:val="Hyperlink"/>
                <w:noProof/>
                <w:webHidden/>
                <w:color w:val="auto"/>
              </w:rPr>
              <w:fldChar w:fldCharType="end"/>
            </w:r>
          </w:hyperlink>
        </w:p>
        <w:p w14:paraId="415EDBA0" w14:textId="77777777" w:rsidR="00F21187" w:rsidRDefault="00640A46" w:rsidP="00F21187">
          <w:pPr>
            <w:pStyle w:val="TOC2"/>
            <w:tabs>
              <w:tab w:val="right" w:leader="dot" w:pos="10763"/>
            </w:tabs>
            <w:rPr>
              <w:rFonts w:asciiTheme="minorHAnsi" w:hAnsiTheme="minorHAnsi"/>
              <w:noProof/>
              <w:sz w:val="22"/>
              <w:lang w:eastAsia="en-GB"/>
            </w:rPr>
          </w:pPr>
          <w:hyperlink r:id="rId19" w:anchor="_Toc85547754" w:history="1">
            <w:r w:rsidR="00F21187">
              <w:rPr>
                <w:rStyle w:val="Hyperlink"/>
                <w:noProof/>
              </w:rPr>
              <w:t>Deprivation</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_Toc85547754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6</w:t>
            </w:r>
            <w:r w:rsidR="00F21187">
              <w:rPr>
                <w:rStyle w:val="Hyperlink"/>
                <w:noProof/>
                <w:webHidden/>
                <w:color w:val="auto"/>
              </w:rPr>
              <w:fldChar w:fldCharType="end"/>
            </w:r>
          </w:hyperlink>
        </w:p>
        <w:p w14:paraId="6F1C6728" w14:textId="77777777" w:rsidR="00F21187" w:rsidRDefault="00640A46" w:rsidP="00F21187">
          <w:pPr>
            <w:pStyle w:val="TOC2"/>
            <w:tabs>
              <w:tab w:val="right" w:leader="dot" w:pos="10763"/>
            </w:tabs>
            <w:rPr>
              <w:rFonts w:asciiTheme="minorHAnsi" w:hAnsiTheme="minorHAnsi"/>
              <w:noProof/>
              <w:sz w:val="22"/>
              <w:lang w:eastAsia="en-GB"/>
            </w:rPr>
          </w:pPr>
          <w:hyperlink r:id="rId20" w:anchor="_Toc85547755" w:history="1">
            <w:r w:rsidR="00F21187">
              <w:rPr>
                <w:rStyle w:val="Hyperlink"/>
                <w:noProof/>
              </w:rPr>
              <w:t>Ethnicity</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_Toc85547755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7</w:t>
            </w:r>
            <w:r w:rsidR="00F21187">
              <w:rPr>
                <w:rStyle w:val="Hyperlink"/>
                <w:noProof/>
                <w:webHidden/>
                <w:color w:val="auto"/>
              </w:rPr>
              <w:fldChar w:fldCharType="end"/>
            </w:r>
          </w:hyperlink>
        </w:p>
        <w:p w14:paraId="2FAE6829" w14:textId="77777777" w:rsidR="00F21187" w:rsidRDefault="00640A46" w:rsidP="00F21187">
          <w:pPr>
            <w:pStyle w:val="TOC1"/>
            <w:tabs>
              <w:tab w:val="right" w:leader="dot" w:pos="10763"/>
            </w:tabs>
            <w:rPr>
              <w:rFonts w:asciiTheme="minorHAnsi" w:hAnsiTheme="minorHAnsi"/>
              <w:noProof/>
              <w:sz w:val="22"/>
              <w:lang w:eastAsia="en-GB"/>
            </w:rPr>
          </w:pPr>
          <w:hyperlink r:id="rId21" w:anchor="_Toc85547756" w:history="1">
            <w:r w:rsidR="00F21187">
              <w:rPr>
                <w:rStyle w:val="Hyperlink"/>
                <w:noProof/>
              </w:rPr>
              <w:t>06 Chronic pain</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_Toc85547756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7</w:t>
            </w:r>
            <w:r w:rsidR="00F21187">
              <w:rPr>
                <w:rStyle w:val="Hyperlink"/>
                <w:noProof/>
                <w:webHidden/>
                <w:color w:val="auto"/>
              </w:rPr>
              <w:fldChar w:fldCharType="end"/>
            </w:r>
          </w:hyperlink>
        </w:p>
        <w:p w14:paraId="50DEC5D5" w14:textId="77777777" w:rsidR="00F21187" w:rsidRDefault="00640A46" w:rsidP="00F21187">
          <w:pPr>
            <w:pStyle w:val="TOC1"/>
            <w:tabs>
              <w:tab w:val="right" w:leader="dot" w:pos="10763"/>
            </w:tabs>
            <w:rPr>
              <w:rFonts w:asciiTheme="minorHAnsi" w:hAnsiTheme="minorHAnsi"/>
              <w:noProof/>
              <w:sz w:val="22"/>
              <w:lang w:eastAsia="en-GB"/>
            </w:rPr>
          </w:pPr>
          <w:hyperlink r:id="rId22" w:anchor="_Toc85547757" w:history="1">
            <w:r w:rsidR="00F21187">
              <w:rPr>
                <w:rStyle w:val="Hyperlink"/>
                <w:noProof/>
              </w:rPr>
              <w:t>07 Key Risk Factors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_Toc85547757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8</w:t>
            </w:r>
            <w:r w:rsidR="00F21187">
              <w:rPr>
                <w:rStyle w:val="Hyperlink"/>
                <w:noProof/>
                <w:webHidden/>
                <w:color w:val="auto"/>
              </w:rPr>
              <w:fldChar w:fldCharType="end"/>
            </w:r>
          </w:hyperlink>
        </w:p>
        <w:p w14:paraId="0D586D86" w14:textId="77777777" w:rsidR="00F21187" w:rsidRDefault="00640A46" w:rsidP="00F21187">
          <w:pPr>
            <w:pStyle w:val="TOC2"/>
            <w:tabs>
              <w:tab w:val="right" w:leader="dot" w:pos="10763"/>
            </w:tabs>
            <w:rPr>
              <w:rFonts w:asciiTheme="minorHAnsi" w:hAnsiTheme="minorHAnsi"/>
              <w:noProof/>
              <w:sz w:val="22"/>
              <w:lang w:eastAsia="en-GB"/>
            </w:rPr>
          </w:pPr>
          <w:hyperlink r:id="rId23" w:anchor="_Toc85547758" w:history="1">
            <w:r w:rsidR="00F21187">
              <w:rPr>
                <w:rStyle w:val="Hyperlink"/>
                <w:noProof/>
              </w:rPr>
              <w:t>Physical inactivity</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_Toc85547758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8</w:t>
            </w:r>
            <w:r w:rsidR="00F21187">
              <w:rPr>
                <w:rStyle w:val="Hyperlink"/>
                <w:noProof/>
                <w:webHidden/>
                <w:color w:val="auto"/>
              </w:rPr>
              <w:fldChar w:fldCharType="end"/>
            </w:r>
          </w:hyperlink>
        </w:p>
        <w:p w14:paraId="146E6BCC" w14:textId="77777777" w:rsidR="00F21187" w:rsidRDefault="00640A46" w:rsidP="00F21187">
          <w:pPr>
            <w:pStyle w:val="TOC2"/>
            <w:tabs>
              <w:tab w:val="right" w:leader="dot" w:pos="10763"/>
            </w:tabs>
            <w:rPr>
              <w:rFonts w:asciiTheme="minorHAnsi" w:hAnsiTheme="minorHAnsi"/>
              <w:noProof/>
              <w:sz w:val="22"/>
              <w:lang w:eastAsia="en-GB"/>
            </w:rPr>
          </w:pPr>
          <w:hyperlink r:id="rId24" w:anchor="_Toc85547759" w:history="1">
            <w:r w:rsidR="00F21187">
              <w:rPr>
                <w:rStyle w:val="Hyperlink"/>
                <w:noProof/>
              </w:rPr>
              <w:t>Obesity</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_Toc85547759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9</w:t>
            </w:r>
            <w:r w:rsidR="00F21187">
              <w:rPr>
                <w:rStyle w:val="Hyperlink"/>
                <w:noProof/>
                <w:webHidden/>
                <w:color w:val="auto"/>
              </w:rPr>
              <w:fldChar w:fldCharType="end"/>
            </w:r>
          </w:hyperlink>
        </w:p>
        <w:p w14:paraId="6B2A3AD6" w14:textId="77777777" w:rsidR="00F21187" w:rsidRDefault="00640A46" w:rsidP="00F21187">
          <w:pPr>
            <w:pStyle w:val="TOC2"/>
            <w:tabs>
              <w:tab w:val="right" w:leader="dot" w:pos="10763"/>
            </w:tabs>
            <w:rPr>
              <w:rFonts w:asciiTheme="minorHAnsi" w:hAnsiTheme="minorHAnsi"/>
              <w:noProof/>
              <w:sz w:val="22"/>
              <w:lang w:eastAsia="en-GB"/>
            </w:rPr>
          </w:pPr>
          <w:hyperlink r:id="rId25" w:anchor="_Toc85547760" w:history="1">
            <w:r w:rsidR="00F21187">
              <w:rPr>
                <w:rStyle w:val="Hyperlink"/>
                <w:noProof/>
              </w:rPr>
              <w:t>Multiple long-term conditions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_Toc85547760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10</w:t>
            </w:r>
            <w:r w:rsidR="00F21187">
              <w:rPr>
                <w:rStyle w:val="Hyperlink"/>
                <w:noProof/>
                <w:webHidden/>
                <w:color w:val="auto"/>
              </w:rPr>
              <w:fldChar w:fldCharType="end"/>
            </w:r>
          </w:hyperlink>
        </w:p>
        <w:p w14:paraId="4E2019C1" w14:textId="77777777" w:rsidR="00F21187" w:rsidRDefault="00640A46" w:rsidP="00F21187">
          <w:pPr>
            <w:pStyle w:val="TOC1"/>
            <w:tabs>
              <w:tab w:val="right" w:leader="dot" w:pos="10763"/>
            </w:tabs>
            <w:rPr>
              <w:rFonts w:asciiTheme="minorHAnsi" w:hAnsiTheme="minorHAnsi"/>
              <w:noProof/>
              <w:sz w:val="22"/>
              <w:lang w:eastAsia="en-GB"/>
            </w:rPr>
          </w:pPr>
          <w:hyperlink r:id="rId26" w:anchor="_Toc85547761" w:history="1">
            <w:r w:rsidR="00F21187">
              <w:rPr>
                <w:rStyle w:val="Hyperlink"/>
                <w:noProof/>
              </w:rPr>
              <w:t>08 Impact</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_Toc85547761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11</w:t>
            </w:r>
            <w:r w:rsidR="00F21187">
              <w:rPr>
                <w:rStyle w:val="Hyperlink"/>
                <w:noProof/>
                <w:webHidden/>
                <w:color w:val="auto"/>
              </w:rPr>
              <w:fldChar w:fldCharType="end"/>
            </w:r>
          </w:hyperlink>
        </w:p>
        <w:p w14:paraId="4088DE40" w14:textId="77777777" w:rsidR="00F21187" w:rsidRDefault="00640A46" w:rsidP="00F21187">
          <w:pPr>
            <w:pStyle w:val="TOC2"/>
            <w:tabs>
              <w:tab w:val="right" w:leader="dot" w:pos="10763"/>
            </w:tabs>
            <w:rPr>
              <w:rFonts w:asciiTheme="minorHAnsi" w:hAnsiTheme="minorHAnsi"/>
              <w:noProof/>
              <w:sz w:val="22"/>
              <w:lang w:eastAsia="en-GB"/>
            </w:rPr>
          </w:pPr>
          <w:hyperlink r:id="rId27" w:anchor="_Toc85547762" w:history="1">
            <w:r w:rsidR="00F21187">
              <w:rPr>
                <w:rStyle w:val="Hyperlink"/>
                <w:noProof/>
              </w:rPr>
              <w:t>Quality of life</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_Toc85547762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11</w:t>
            </w:r>
            <w:r w:rsidR="00F21187">
              <w:rPr>
                <w:rStyle w:val="Hyperlink"/>
                <w:noProof/>
                <w:webHidden/>
                <w:color w:val="auto"/>
              </w:rPr>
              <w:fldChar w:fldCharType="end"/>
            </w:r>
          </w:hyperlink>
        </w:p>
        <w:p w14:paraId="5DC30E9F" w14:textId="77777777" w:rsidR="00F21187" w:rsidRDefault="00640A46" w:rsidP="00F21187">
          <w:pPr>
            <w:pStyle w:val="TOC2"/>
            <w:tabs>
              <w:tab w:val="right" w:leader="dot" w:pos="10763"/>
            </w:tabs>
            <w:rPr>
              <w:rFonts w:asciiTheme="minorHAnsi" w:hAnsiTheme="minorHAnsi"/>
              <w:noProof/>
              <w:sz w:val="22"/>
              <w:lang w:eastAsia="en-GB"/>
            </w:rPr>
          </w:pPr>
          <w:hyperlink r:id="rId28" w:anchor="_Toc85547763" w:history="1">
            <w:r w:rsidR="00F21187">
              <w:rPr>
                <w:rStyle w:val="Hyperlink"/>
                <w:noProof/>
              </w:rPr>
              <w:t>Impact on daily activities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_Toc85547763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11</w:t>
            </w:r>
            <w:r w:rsidR="00F21187">
              <w:rPr>
                <w:rStyle w:val="Hyperlink"/>
                <w:noProof/>
                <w:webHidden/>
                <w:color w:val="auto"/>
              </w:rPr>
              <w:fldChar w:fldCharType="end"/>
            </w:r>
          </w:hyperlink>
        </w:p>
        <w:p w14:paraId="1F14CDA5" w14:textId="77777777" w:rsidR="00F21187" w:rsidRDefault="00640A46" w:rsidP="00F21187">
          <w:pPr>
            <w:pStyle w:val="TOC2"/>
            <w:tabs>
              <w:tab w:val="right" w:leader="dot" w:pos="10763"/>
            </w:tabs>
            <w:rPr>
              <w:rFonts w:asciiTheme="minorHAnsi" w:hAnsiTheme="minorHAnsi"/>
              <w:noProof/>
              <w:sz w:val="22"/>
              <w:lang w:eastAsia="en-GB"/>
            </w:rPr>
          </w:pPr>
          <w:hyperlink r:id="rId29" w:anchor="_Toc85547764" w:history="1">
            <w:r w:rsidR="00F21187">
              <w:rPr>
                <w:rStyle w:val="Hyperlink"/>
                <w:noProof/>
              </w:rPr>
              <w:t>Work</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_Toc85547764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12</w:t>
            </w:r>
            <w:r w:rsidR="00F21187">
              <w:rPr>
                <w:rStyle w:val="Hyperlink"/>
                <w:noProof/>
                <w:webHidden/>
                <w:color w:val="auto"/>
              </w:rPr>
              <w:fldChar w:fldCharType="end"/>
            </w:r>
          </w:hyperlink>
        </w:p>
        <w:p w14:paraId="7C21EB49" w14:textId="77777777" w:rsidR="00F21187" w:rsidRDefault="00640A46" w:rsidP="00F21187">
          <w:pPr>
            <w:pStyle w:val="TOC2"/>
            <w:tabs>
              <w:tab w:val="right" w:leader="dot" w:pos="10763"/>
            </w:tabs>
            <w:rPr>
              <w:rFonts w:asciiTheme="minorHAnsi" w:hAnsiTheme="minorHAnsi"/>
              <w:noProof/>
              <w:sz w:val="22"/>
              <w:lang w:eastAsia="en-GB"/>
            </w:rPr>
          </w:pPr>
          <w:hyperlink r:id="rId30" w:anchor="_Toc85547765" w:history="1">
            <w:r w:rsidR="00F21187">
              <w:rPr>
                <w:rStyle w:val="Hyperlink"/>
                <w:noProof/>
              </w:rPr>
              <w:t>Health and care services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_Toc85547765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13</w:t>
            </w:r>
            <w:r w:rsidR="00F21187">
              <w:rPr>
                <w:rStyle w:val="Hyperlink"/>
                <w:noProof/>
                <w:webHidden/>
                <w:color w:val="auto"/>
              </w:rPr>
              <w:fldChar w:fldCharType="end"/>
            </w:r>
          </w:hyperlink>
        </w:p>
        <w:p w14:paraId="3C4C4023" w14:textId="77777777" w:rsidR="00F21187" w:rsidRDefault="00640A46" w:rsidP="00F21187">
          <w:pPr>
            <w:pStyle w:val="TOC2"/>
            <w:tabs>
              <w:tab w:val="right" w:leader="dot" w:pos="10763"/>
            </w:tabs>
            <w:rPr>
              <w:rFonts w:asciiTheme="minorHAnsi" w:hAnsiTheme="minorHAnsi"/>
              <w:noProof/>
              <w:sz w:val="22"/>
              <w:lang w:eastAsia="en-GB"/>
            </w:rPr>
          </w:pPr>
          <w:hyperlink r:id="rId31" w:anchor="_Toc85547766" w:history="1">
            <w:r w:rsidR="00F21187">
              <w:rPr>
                <w:rStyle w:val="Hyperlink"/>
                <w:noProof/>
              </w:rPr>
              <w:t>Economy</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_Toc85547766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13</w:t>
            </w:r>
            <w:r w:rsidR="00F21187">
              <w:rPr>
                <w:rStyle w:val="Hyperlink"/>
                <w:noProof/>
                <w:webHidden/>
                <w:color w:val="auto"/>
              </w:rPr>
              <w:fldChar w:fldCharType="end"/>
            </w:r>
          </w:hyperlink>
        </w:p>
        <w:p w14:paraId="544558DA" w14:textId="77777777" w:rsidR="00F21187" w:rsidRDefault="00640A46" w:rsidP="00F21187">
          <w:pPr>
            <w:pStyle w:val="TOC1"/>
            <w:tabs>
              <w:tab w:val="right" w:leader="dot" w:pos="10763"/>
            </w:tabs>
            <w:rPr>
              <w:rFonts w:asciiTheme="minorHAnsi" w:hAnsiTheme="minorHAnsi"/>
              <w:noProof/>
              <w:sz w:val="22"/>
              <w:lang w:eastAsia="en-GB"/>
            </w:rPr>
          </w:pPr>
          <w:hyperlink r:id="rId32" w:anchor="_Toc85547767" w:history="1">
            <w:r w:rsidR="00F21187">
              <w:rPr>
                <w:rStyle w:val="Hyperlink"/>
                <w:noProof/>
              </w:rPr>
              <w:t>09 MSK Calculator estimates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_Toc85547767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16</w:t>
            </w:r>
            <w:r w:rsidR="00F21187">
              <w:rPr>
                <w:rStyle w:val="Hyperlink"/>
                <w:noProof/>
                <w:webHidden/>
                <w:color w:val="auto"/>
              </w:rPr>
              <w:fldChar w:fldCharType="end"/>
            </w:r>
          </w:hyperlink>
        </w:p>
        <w:p w14:paraId="036E90BF" w14:textId="77777777" w:rsidR="00F21187" w:rsidRDefault="00640A46" w:rsidP="00F21187">
          <w:pPr>
            <w:pStyle w:val="TOC1"/>
            <w:tabs>
              <w:tab w:val="right" w:leader="dot" w:pos="10763"/>
            </w:tabs>
            <w:rPr>
              <w:rFonts w:asciiTheme="minorHAnsi" w:hAnsiTheme="minorHAnsi"/>
              <w:noProof/>
              <w:sz w:val="22"/>
              <w:lang w:eastAsia="en-GB"/>
            </w:rPr>
          </w:pPr>
          <w:hyperlink r:id="rId33" w:anchor="_Toc85547768" w:history="1">
            <w:r w:rsidR="00F21187">
              <w:rPr>
                <w:rStyle w:val="Hyperlink"/>
                <w:noProof/>
              </w:rPr>
              <w:t>10 Glossary</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_Toc85547768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17</w:t>
            </w:r>
            <w:r w:rsidR="00F21187">
              <w:rPr>
                <w:rStyle w:val="Hyperlink"/>
                <w:noProof/>
                <w:webHidden/>
                <w:color w:val="auto"/>
              </w:rPr>
              <w:fldChar w:fldCharType="end"/>
            </w:r>
          </w:hyperlink>
        </w:p>
        <w:p w14:paraId="43B391EE" w14:textId="77777777" w:rsidR="00F21187" w:rsidRDefault="00640A46" w:rsidP="00F21187">
          <w:pPr>
            <w:pStyle w:val="TOC1"/>
            <w:tabs>
              <w:tab w:val="right" w:leader="dot" w:pos="10763"/>
            </w:tabs>
            <w:rPr>
              <w:rFonts w:asciiTheme="minorHAnsi" w:hAnsiTheme="minorHAnsi"/>
              <w:noProof/>
              <w:sz w:val="22"/>
              <w:lang w:eastAsia="en-GB"/>
            </w:rPr>
          </w:pPr>
          <w:hyperlink r:id="rId34" w:anchor="_Toc85547769" w:history="1">
            <w:r w:rsidR="00F21187">
              <w:rPr>
                <w:rStyle w:val="Hyperlink"/>
                <w:noProof/>
              </w:rPr>
              <w:t>11 References</w:t>
            </w:r>
            <w:r w:rsidR="00F21187">
              <w:rPr>
                <w:rStyle w:val="Hyperlink"/>
                <w:noProof/>
                <w:webHidden/>
                <w:color w:val="auto"/>
              </w:rPr>
              <w:tab/>
            </w:r>
            <w:r w:rsidR="00F21187">
              <w:rPr>
                <w:rStyle w:val="Hyperlink"/>
                <w:noProof/>
                <w:webHidden/>
                <w:color w:val="auto"/>
              </w:rPr>
              <w:fldChar w:fldCharType="begin"/>
            </w:r>
            <w:r w:rsidR="00F21187">
              <w:rPr>
                <w:rStyle w:val="Hyperlink"/>
                <w:noProof/>
                <w:webHidden/>
                <w:color w:val="auto"/>
              </w:rPr>
              <w:instrText xml:space="preserve"> PAGEREF _Toc85547769 \h </w:instrText>
            </w:r>
            <w:r w:rsidR="00F21187">
              <w:rPr>
                <w:rStyle w:val="Hyperlink"/>
                <w:noProof/>
                <w:webHidden/>
                <w:color w:val="auto"/>
              </w:rPr>
            </w:r>
            <w:r w:rsidR="00F21187">
              <w:rPr>
                <w:rStyle w:val="Hyperlink"/>
                <w:noProof/>
                <w:webHidden/>
                <w:color w:val="auto"/>
              </w:rPr>
              <w:fldChar w:fldCharType="separate"/>
            </w:r>
            <w:r w:rsidR="00F21187">
              <w:rPr>
                <w:rStyle w:val="Hyperlink"/>
                <w:noProof/>
                <w:webHidden/>
                <w:color w:val="auto"/>
              </w:rPr>
              <w:t>18</w:t>
            </w:r>
            <w:r w:rsidR="00F21187">
              <w:rPr>
                <w:rStyle w:val="Hyperlink"/>
                <w:noProof/>
                <w:webHidden/>
                <w:color w:val="auto"/>
              </w:rPr>
              <w:fldChar w:fldCharType="end"/>
            </w:r>
          </w:hyperlink>
        </w:p>
        <w:p w14:paraId="5AF2272F" w14:textId="77777777" w:rsidR="00F21187" w:rsidRDefault="00F21187" w:rsidP="00F21187">
          <w:r>
            <w:rPr>
              <w:b/>
              <w:bCs/>
              <w:noProof/>
            </w:rPr>
            <w:fldChar w:fldCharType="end"/>
          </w:r>
        </w:p>
      </w:sdtContent>
    </w:sdt>
    <w:p w14:paraId="16D61A1B" w14:textId="77777777" w:rsidR="00F21187" w:rsidRDefault="00F21187" w:rsidP="00F21187"/>
    <w:p w14:paraId="2EB44418" w14:textId="77777777" w:rsidR="00F21187" w:rsidRDefault="00F21187" w:rsidP="00F21187"/>
    <w:p w14:paraId="54A50EBB" w14:textId="77777777" w:rsidR="00F21187" w:rsidRDefault="00F21187" w:rsidP="00F21187"/>
    <w:p w14:paraId="5B32F6BF" w14:textId="77777777" w:rsidR="00F21187" w:rsidRDefault="00F21187" w:rsidP="00F21187"/>
    <w:p w14:paraId="4D30DCEB" w14:textId="2BA8D027" w:rsidR="00F21187" w:rsidRDefault="00F21187" w:rsidP="00F21187">
      <w:r>
        <w:rPr>
          <w:noProof/>
        </w:rPr>
        <w:drawing>
          <wp:anchor distT="0" distB="0" distL="114300" distR="114300" simplePos="0" relativeHeight="251658240" behindDoc="1" locked="0" layoutInCell="1" allowOverlap="0" wp14:anchorId="53EDB6E1" wp14:editId="103DBDD8">
            <wp:simplePos x="0" y="0"/>
            <wp:positionH relativeFrom="margin">
              <wp:posOffset>60960</wp:posOffset>
            </wp:positionH>
            <wp:positionV relativeFrom="margin">
              <wp:align>bottom</wp:align>
            </wp:positionV>
            <wp:extent cx="1511935" cy="727075"/>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logo&#10;&#10;Description generated with very high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1935" cy="727075"/>
                    </a:xfrm>
                    <a:prstGeom prst="rect">
                      <a:avLst/>
                    </a:prstGeom>
                    <a:noFill/>
                  </pic:spPr>
                </pic:pic>
              </a:graphicData>
            </a:graphic>
            <wp14:sizeRelH relativeFrom="margin">
              <wp14:pctWidth>0</wp14:pctWidth>
            </wp14:sizeRelH>
            <wp14:sizeRelV relativeFrom="margin">
              <wp14:pctHeight>0</wp14:pctHeight>
            </wp14:sizeRelV>
          </wp:anchor>
        </w:drawing>
      </w:r>
    </w:p>
    <w:p w14:paraId="669813E9" w14:textId="77777777" w:rsidR="00F21187" w:rsidRDefault="00F21187" w:rsidP="00F21187">
      <w:pPr>
        <w:pStyle w:val="Heading1"/>
        <w:rPr>
          <w:rFonts w:eastAsiaTheme="minorEastAsia"/>
        </w:rPr>
      </w:pPr>
      <w:bookmarkStart w:id="0" w:name="_Toc85547743"/>
      <w:r>
        <w:rPr>
          <w:rFonts w:eastAsiaTheme="minorEastAsia"/>
        </w:rPr>
        <w:lastRenderedPageBreak/>
        <w:t>01 Introduction</w:t>
      </w:r>
      <w:bookmarkEnd w:id="0"/>
    </w:p>
    <w:p w14:paraId="7340CB1A" w14:textId="77777777" w:rsidR="00F21187" w:rsidRDefault="00F21187" w:rsidP="00F21187">
      <w:r>
        <w:t xml:space="preserve">Over 20 million people in the UK (around a third of the population) live with a musculoskeletal (MSK) condition, such as arthritis and low back </w:t>
      </w:r>
      <w:r>
        <w:rPr>
          <w:rFonts w:cstheme="minorHAnsi"/>
        </w:rPr>
        <w:t>pain.</w:t>
      </w:r>
      <w:r>
        <w:rPr>
          <w:rStyle w:val="EndnoteReference"/>
          <w:rFonts w:cstheme="minorHAnsi"/>
        </w:rPr>
        <w:endnoteReference w:id="1"/>
      </w:r>
      <w:r>
        <w:rPr>
          <w:rFonts w:cstheme="minorHAnsi"/>
        </w:rPr>
        <w:t xml:space="preserve"> </w:t>
      </w:r>
      <w:r>
        <w:t xml:space="preserve">Overall, 21% of years lived with illness and disability (YLD) in the UK population are associated with MSK conditions. Low back and neck pain and osteoarthritis are the most common causes of pain and disability. </w:t>
      </w:r>
    </w:p>
    <w:p w14:paraId="17BC8F25" w14:textId="77777777" w:rsidR="00F21187" w:rsidRDefault="00F21187" w:rsidP="00F21187">
      <w:r>
        <w:t xml:space="preserve">Pain is one of the leading symptoms of MSK conditions, however people living with conditions like arthritis also commonly experience high levels of fatigue, stiffness and loss of mobility and dexterity. Together these symptoms can steal life’s fundamentals, affecting how we move, think, sleep and feel, and even our ability to work and spend time with loved ones. </w:t>
      </w:r>
    </w:p>
    <w:p w14:paraId="37CC4B18" w14:textId="77777777" w:rsidR="00F21187" w:rsidRDefault="00F21187" w:rsidP="00F21187">
      <w:r>
        <w:t>As people age, the risk of developing certain MSK condition rises. Excess weight and physical inactivity can increase the risk of developing certain MSK conditions and can also exacerbate an existing condition.</w:t>
      </w:r>
    </w:p>
    <w:p w14:paraId="3369AA97" w14:textId="77777777" w:rsidR="00F21187" w:rsidRDefault="00F21187" w:rsidP="00F21187">
      <w:pPr>
        <w:pStyle w:val="Heading2"/>
        <w:rPr>
          <w:rFonts w:eastAsiaTheme="minorEastAsia"/>
        </w:rPr>
      </w:pPr>
      <w:bookmarkStart w:id="1" w:name="_Toc85547744"/>
      <w:r>
        <w:rPr>
          <w:rFonts w:eastAsiaTheme="minorEastAsia"/>
        </w:rPr>
        <w:t>What is the State of Musculoskeletal Health?</w:t>
      </w:r>
      <w:bookmarkEnd w:id="1"/>
    </w:p>
    <w:p w14:paraId="77C238A5" w14:textId="77777777" w:rsidR="00F21187" w:rsidRDefault="00F21187" w:rsidP="00F21187">
      <w:r>
        <w:t xml:space="preserve">Measuring the prevalence of MSK conditions is challenging for many reasons, including the </w:t>
      </w:r>
      <w:proofErr w:type="gramStart"/>
      <w:r>
        <w:t>often hidden</w:t>
      </w:r>
      <w:proofErr w:type="gramEnd"/>
      <w:r>
        <w:t xml:space="preserve"> nature of MSK conditions and variation in diagnostic procedures, recording and reporting. </w:t>
      </w:r>
    </w:p>
    <w:p w14:paraId="71041151" w14:textId="77777777" w:rsidR="00F21187" w:rsidRDefault="00F21187" w:rsidP="00F21187">
      <w:r>
        <w:t xml:space="preserve">The State of Musculoskeletal Health is a compendium of statistics that aims to provide the best picture available of the current prevalence UK-wide, the number of people at risk of developing these conditions and the subsequent impact of MSK conditions on people’s lives, the wider health system and society. </w:t>
      </w:r>
    </w:p>
    <w:p w14:paraId="44194889" w14:textId="77777777" w:rsidR="00F21187" w:rsidRDefault="00F21187" w:rsidP="00F21187">
      <w:pPr>
        <w:pStyle w:val="Heading2"/>
        <w:rPr>
          <w:rFonts w:eastAsiaTheme="minorEastAsia"/>
        </w:rPr>
      </w:pPr>
      <w:bookmarkStart w:id="2" w:name="_Toc85547745"/>
      <w:r>
        <w:rPr>
          <w:rFonts w:eastAsiaTheme="minorEastAsia"/>
        </w:rPr>
        <w:t>Who is it for?</w:t>
      </w:r>
      <w:bookmarkEnd w:id="2"/>
    </w:p>
    <w:p w14:paraId="19009034" w14:textId="77777777" w:rsidR="00F21187" w:rsidRDefault="00F21187" w:rsidP="00F21187">
      <w:r>
        <w:t xml:space="preserve">It is a resource for healthcare professionals, policy makers, public health leads and anyone interested in MSK health. We believe that with the best information you can build awareness, make more informed decisions, feel more confident and ultimately help more people with MSK conditions. </w:t>
      </w:r>
    </w:p>
    <w:p w14:paraId="45A8EBF7" w14:textId="77777777" w:rsidR="00F21187" w:rsidRDefault="00F21187" w:rsidP="00F21187"/>
    <w:p w14:paraId="7C712ABC" w14:textId="77777777" w:rsidR="00F21187" w:rsidRDefault="00640A46" w:rsidP="00F21187">
      <w:pPr>
        <w:rPr>
          <w:rFonts w:cstheme="minorHAnsi"/>
        </w:rPr>
      </w:pPr>
      <w:hyperlink r:id="rId36" w:history="1">
        <w:r w:rsidR="00F21187">
          <w:rPr>
            <w:rStyle w:val="Hyperlink"/>
            <w:rFonts w:cstheme="minorHAnsi"/>
            <w:szCs w:val="24"/>
          </w:rPr>
          <w:t>Read more about the lived experiences of people with arthritis.</w:t>
        </w:r>
      </w:hyperlink>
    </w:p>
    <w:p w14:paraId="1C815D7E" w14:textId="77777777" w:rsidR="00F21187" w:rsidRDefault="00F21187" w:rsidP="00F21187">
      <w:pPr>
        <w:pStyle w:val="Heading2"/>
        <w:rPr>
          <w:rFonts w:eastAsiaTheme="minorEastAsia"/>
        </w:rPr>
      </w:pPr>
      <w:bookmarkStart w:id="3" w:name="_Toc85547746"/>
      <w:r>
        <w:rPr>
          <w:rFonts w:eastAsiaTheme="minorEastAsia"/>
        </w:rPr>
        <w:t>About Versus Arthritis</w:t>
      </w:r>
      <w:bookmarkEnd w:id="3"/>
    </w:p>
    <w:p w14:paraId="29EC7388" w14:textId="77777777" w:rsidR="00F21187" w:rsidRDefault="00F21187" w:rsidP="00F21187">
      <w:r>
        <w:t>There are over 20 million people living with a musculoskeletal (MSK) condition like arthritis in the UK. That’s one in three people, with half of those living in pain every single day. The impact is huge as these conditions slowly intrude on everyday life – affecting the ability to work, care for a family, to move free from pain and live independently. Yet arthritis is often dismissed as an inevitable part of ageing or shrugged off as ‘just a bit of arthritis’. We don’t think this is OK. Versus Arthritis is here to change that.</w:t>
      </w:r>
    </w:p>
    <w:p w14:paraId="6F18EA31" w14:textId="77777777" w:rsidR="00F21187" w:rsidRDefault="00F21187" w:rsidP="00F21187">
      <w:r>
        <w:t xml:space="preserve">Find out how you can join us in the push to defy arthritis at </w:t>
      </w:r>
      <w:hyperlink r:id="rId37" w:history="1">
        <w:r>
          <w:rPr>
            <w:rStyle w:val="Hyperlink"/>
          </w:rPr>
          <w:t>www.versusarthritis.org</w:t>
        </w:r>
      </w:hyperlink>
    </w:p>
    <w:p w14:paraId="29DD4613" w14:textId="77777777" w:rsidR="00F21187" w:rsidRDefault="00F21187" w:rsidP="00F21187"/>
    <w:p w14:paraId="28D60C83" w14:textId="77777777" w:rsidR="00F21187" w:rsidRDefault="00F21187" w:rsidP="00F21187"/>
    <w:p w14:paraId="36AACD9D" w14:textId="77777777" w:rsidR="00F21187" w:rsidRDefault="00F21187" w:rsidP="00F21187"/>
    <w:p w14:paraId="519ED993" w14:textId="77777777" w:rsidR="00F21187" w:rsidRDefault="00F21187" w:rsidP="00F21187"/>
    <w:p w14:paraId="560DB890" w14:textId="77777777" w:rsidR="00F21187" w:rsidRDefault="00F21187" w:rsidP="00F21187"/>
    <w:p w14:paraId="676E562F" w14:textId="77777777" w:rsidR="00F21187" w:rsidRDefault="00F21187" w:rsidP="00F21187">
      <w:pPr>
        <w:pStyle w:val="Heading1"/>
        <w:rPr>
          <w:rFonts w:eastAsiaTheme="minorEastAsia"/>
        </w:rPr>
      </w:pPr>
      <w:bookmarkStart w:id="4" w:name="_Toc85547747"/>
      <w:r>
        <w:rPr>
          <w:rFonts w:eastAsiaTheme="minorEastAsia"/>
        </w:rPr>
        <w:lastRenderedPageBreak/>
        <w:t>02 Methods</w:t>
      </w:r>
      <w:bookmarkEnd w:id="4"/>
    </w:p>
    <w:p w14:paraId="0EED3C2B" w14:textId="77777777" w:rsidR="00F21187" w:rsidRDefault="00F21187" w:rsidP="00F21187">
      <w:r>
        <w:t xml:space="preserve">Data, information and insight on musculoskeletal conditions are available from a range of different sources. At Versus Arthritis, we judge all evidence based on individual merit and ‘good evidence’ is evidence that accurately represents the needs, experiences, and perspectives of people with arthritis. Depending on the story you are trying to tell, and your audience, it is important to use the right kind of evidence. Different types of evidence can help answer different types of questions. The key is to select evidence based on the question and what is most relevant and useful for answering it. </w:t>
      </w:r>
    </w:p>
    <w:p w14:paraId="3E29F119" w14:textId="77777777" w:rsidR="00F21187" w:rsidRDefault="00F21187" w:rsidP="00F21187">
      <w:pPr>
        <w:rPr>
          <w:vertAlign w:val="superscript"/>
        </w:rPr>
      </w:pPr>
      <w:r>
        <w:t>Figure 1. Hierarchy of Evidence</w:t>
      </w:r>
      <w:r>
        <w:rPr>
          <w:vertAlign w:val="superscript"/>
        </w:rPr>
        <w:t>2</w:t>
      </w:r>
    </w:p>
    <w:p w14:paraId="6A131DC0" w14:textId="7DEC67D1" w:rsidR="00F21187" w:rsidRDefault="00F21187" w:rsidP="00F21187">
      <w:r>
        <w:rPr>
          <w:noProof/>
        </w:rPr>
        <mc:AlternateContent>
          <mc:Choice Requires="wpg">
            <w:drawing>
              <wp:anchor distT="0" distB="0" distL="114300" distR="114300" simplePos="0" relativeHeight="251659264" behindDoc="0" locked="0" layoutInCell="1" allowOverlap="1" wp14:anchorId="618DC980" wp14:editId="0A627342">
                <wp:simplePos x="0" y="0"/>
                <wp:positionH relativeFrom="margin">
                  <wp:posOffset>691515</wp:posOffset>
                </wp:positionH>
                <wp:positionV relativeFrom="paragraph">
                  <wp:posOffset>240030</wp:posOffset>
                </wp:positionV>
                <wp:extent cx="5105400" cy="4719955"/>
                <wp:effectExtent l="0" t="0" r="0" b="975995"/>
                <wp:wrapSquare wrapText="bothSides"/>
                <wp:docPr id="59061" name="Group 59061" descr="A table depicting a hierarchy of health research studies (observational and experimental) and the strength of their conclusions. The study types are ranked as follows from lowest to highest strength of conclusions. Case reports, cross sectional survey, case control study, cohort study, quasi experiment, randomised controlled trial, systematic review and meta analysis. "/>
                <wp:cNvGraphicFramePr/>
                <a:graphic xmlns:a="http://schemas.openxmlformats.org/drawingml/2006/main">
                  <a:graphicData uri="http://schemas.microsoft.com/office/word/2010/wordprocessingGroup">
                    <wpg:wgp>
                      <wpg:cNvGrpSpPr/>
                      <wpg:grpSpPr>
                        <a:xfrm>
                          <a:off x="0" y="0"/>
                          <a:ext cx="5105400" cy="4719955"/>
                          <a:chOff x="0" y="0"/>
                          <a:chExt cx="5177676" cy="5670233"/>
                        </a:xfrm>
                      </wpg:grpSpPr>
                      <wps:wsp>
                        <wps:cNvPr id="2" name="Shape 242"/>
                        <wps:cNvSpPr/>
                        <wps:spPr>
                          <a:xfrm>
                            <a:off x="4509895" y="881050"/>
                            <a:ext cx="79946" cy="0"/>
                          </a:xfrm>
                          <a:custGeom>
                            <a:avLst/>
                            <a:gdLst/>
                            <a:ahLst/>
                            <a:cxnLst/>
                            <a:rect l="0" t="0" r="0" b="0"/>
                            <a:pathLst>
                              <a:path w="79946">
                                <a:moveTo>
                                  <a:pt x="0" y="0"/>
                                </a:moveTo>
                                <a:lnTo>
                                  <a:pt x="79946" y="0"/>
                                </a:lnTo>
                              </a:path>
                            </a:pathLst>
                          </a:custGeom>
                          <a:ln w="15875" cap="rnd">
                            <a:custDash>
                              <a:ds d="1" sp="251800"/>
                            </a:custDash>
                            <a:round/>
                          </a:ln>
                        </wps:spPr>
                        <wps:style>
                          <a:lnRef idx="1">
                            <a:srgbClr val="000000"/>
                          </a:lnRef>
                          <a:fillRef idx="0">
                            <a:srgbClr val="000000">
                              <a:alpha val="0"/>
                            </a:srgbClr>
                          </a:fillRef>
                          <a:effectRef idx="0">
                            <a:scrgbClr r="0" g="0" b="0"/>
                          </a:effectRef>
                          <a:fontRef idx="none"/>
                        </wps:style>
                        <wps:bodyPr/>
                      </wps:wsp>
                      <wps:wsp>
                        <wps:cNvPr id="3" name="Shape 243"/>
                        <wps:cNvSpPr/>
                        <wps:spPr>
                          <a:xfrm>
                            <a:off x="4605829" y="912902"/>
                            <a:ext cx="0" cy="1449235"/>
                          </a:xfrm>
                          <a:custGeom>
                            <a:avLst/>
                            <a:gdLst/>
                            <a:ahLst/>
                            <a:cxnLst/>
                            <a:rect l="0" t="0" r="0" b="0"/>
                            <a:pathLst>
                              <a:path h="1449235">
                                <a:moveTo>
                                  <a:pt x="0" y="0"/>
                                </a:moveTo>
                                <a:lnTo>
                                  <a:pt x="0" y="1449235"/>
                                </a:lnTo>
                              </a:path>
                            </a:pathLst>
                          </a:custGeom>
                          <a:ln w="15875" cap="rnd">
                            <a:custDash>
                              <a:ds d="1" sp="250800"/>
                            </a:custDash>
                            <a:round/>
                          </a:ln>
                        </wps:spPr>
                        <wps:style>
                          <a:lnRef idx="1">
                            <a:srgbClr val="000000"/>
                          </a:lnRef>
                          <a:fillRef idx="0">
                            <a:srgbClr val="000000">
                              <a:alpha val="0"/>
                            </a:srgbClr>
                          </a:fillRef>
                          <a:effectRef idx="0">
                            <a:scrgbClr r="0" g="0" b="0"/>
                          </a:effectRef>
                          <a:fontRef idx="none"/>
                        </wps:style>
                        <wps:bodyPr/>
                      </wps:wsp>
                      <wps:wsp>
                        <wps:cNvPr id="4" name="Shape 244"/>
                        <wps:cNvSpPr/>
                        <wps:spPr>
                          <a:xfrm>
                            <a:off x="4493905" y="2378056"/>
                            <a:ext cx="79946" cy="0"/>
                          </a:xfrm>
                          <a:custGeom>
                            <a:avLst/>
                            <a:gdLst/>
                            <a:ahLst/>
                            <a:cxnLst/>
                            <a:rect l="0" t="0" r="0" b="0"/>
                            <a:pathLst>
                              <a:path w="79946">
                                <a:moveTo>
                                  <a:pt x="79946" y="0"/>
                                </a:moveTo>
                                <a:lnTo>
                                  <a:pt x="0" y="0"/>
                                </a:lnTo>
                              </a:path>
                            </a:pathLst>
                          </a:custGeom>
                          <a:ln w="15875" cap="rnd">
                            <a:custDash>
                              <a:ds d="1" sp="251800"/>
                            </a:custDash>
                            <a:round/>
                          </a:ln>
                        </wps:spPr>
                        <wps:style>
                          <a:lnRef idx="1">
                            <a:srgbClr val="000000"/>
                          </a:lnRef>
                          <a:fillRef idx="0">
                            <a:srgbClr val="000000">
                              <a:alpha val="0"/>
                            </a:srgbClr>
                          </a:fillRef>
                          <a:effectRef idx="0">
                            <a:scrgbClr r="0" g="0" b="0"/>
                          </a:effectRef>
                          <a:fontRef idx="none"/>
                        </wps:style>
                        <wps:bodyPr/>
                      </wps:wsp>
                      <wps:wsp>
                        <wps:cNvPr id="5" name="Shape 245"/>
                        <wps:cNvSpPr/>
                        <wps:spPr>
                          <a:xfrm>
                            <a:off x="4477917" y="881050"/>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6" name="Shape 246"/>
                        <wps:cNvSpPr/>
                        <wps:spPr>
                          <a:xfrm>
                            <a:off x="4605832" y="881050"/>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7" name="Shape 247"/>
                        <wps:cNvSpPr/>
                        <wps:spPr>
                          <a:xfrm>
                            <a:off x="4605832" y="2378062"/>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8" name="Shape 248"/>
                        <wps:cNvSpPr/>
                        <wps:spPr>
                          <a:xfrm>
                            <a:off x="4477917" y="2378062"/>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9" name="Shape 249"/>
                        <wps:cNvSpPr/>
                        <wps:spPr>
                          <a:xfrm>
                            <a:off x="4509895" y="2500424"/>
                            <a:ext cx="79946" cy="0"/>
                          </a:xfrm>
                          <a:custGeom>
                            <a:avLst/>
                            <a:gdLst/>
                            <a:ahLst/>
                            <a:cxnLst/>
                            <a:rect l="0" t="0" r="0" b="0"/>
                            <a:pathLst>
                              <a:path w="79946">
                                <a:moveTo>
                                  <a:pt x="0" y="0"/>
                                </a:moveTo>
                                <a:lnTo>
                                  <a:pt x="79946" y="0"/>
                                </a:lnTo>
                              </a:path>
                            </a:pathLst>
                          </a:custGeom>
                          <a:ln w="15875" cap="rnd">
                            <a:custDash>
                              <a:ds d="1" sp="251800"/>
                            </a:custDash>
                            <a:round/>
                          </a:ln>
                        </wps:spPr>
                        <wps:style>
                          <a:lnRef idx="1">
                            <a:srgbClr val="000000"/>
                          </a:lnRef>
                          <a:fillRef idx="0">
                            <a:srgbClr val="000000">
                              <a:alpha val="0"/>
                            </a:srgbClr>
                          </a:fillRef>
                          <a:effectRef idx="0">
                            <a:scrgbClr r="0" g="0" b="0"/>
                          </a:effectRef>
                          <a:fontRef idx="none"/>
                        </wps:style>
                        <wps:bodyPr/>
                      </wps:wsp>
                      <wps:wsp>
                        <wps:cNvPr id="10" name="Shape 250"/>
                        <wps:cNvSpPr/>
                        <wps:spPr>
                          <a:xfrm>
                            <a:off x="4605829" y="2532134"/>
                            <a:ext cx="0" cy="3059875"/>
                          </a:xfrm>
                          <a:custGeom>
                            <a:avLst/>
                            <a:gdLst/>
                            <a:ahLst/>
                            <a:cxnLst/>
                            <a:rect l="0" t="0" r="0" b="0"/>
                            <a:pathLst>
                              <a:path h="3059875">
                                <a:moveTo>
                                  <a:pt x="0" y="0"/>
                                </a:moveTo>
                                <a:lnTo>
                                  <a:pt x="0" y="3059875"/>
                                </a:lnTo>
                              </a:path>
                            </a:pathLst>
                          </a:custGeom>
                          <a:ln w="15875" cap="rnd">
                            <a:custDash>
                              <a:ds d="1" sp="249700"/>
                            </a:custDash>
                            <a:round/>
                          </a:ln>
                        </wps:spPr>
                        <wps:style>
                          <a:lnRef idx="1">
                            <a:srgbClr val="000000"/>
                          </a:lnRef>
                          <a:fillRef idx="0">
                            <a:srgbClr val="000000">
                              <a:alpha val="0"/>
                            </a:srgbClr>
                          </a:fillRef>
                          <a:effectRef idx="0">
                            <a:scrgbClr r="0" g="0" b="0"/>
                          </a:effectRef>
                          <a:fontRef idx="none"/>
                        </wps:style>
                        <wps:bodyPr/>
                      </wps:wsp>
                      <wps:wsp>
                        <wps:cNvPr id="11" name="Shape 251"/>
                        <wps:cNvSpPr/>
                        <wps:spPr>
                          <a:xfrm>
                            <a:off x="4493905" y="5607865"/>
                            <a:ext cx="79946" cy="0"/>
                          </a:xfrm>
                          <a:custGeom>
                            <a:avLst/>
                            <a:gdLst/>
                            <a:ahLst/>
                            <a:cxnLst/>
                            <a:rect l="0" t="0" r="0" b="0"/>
                            <a:pathLst>
                              <a:path w="79946">
                                <a:moveTo>
                                  <a:pt x="79946" y="0"/>
                                </a:moveTo>
                                <a:lnTo>
                                  <a:pt x="0" y="0"/>
                                </a:lnTo>
                              </a:path>
                            </a:pathLst>
                          </a:custGeom>
                          <a:ln w="15875" cap="rnd">
                            <a:custDash>
                              <a:ds d="1" sp="251800"/>
                            </a:custDash>
                            <a:round/>
                          </a:ln>
                        </wps:spPr>
                        <wps:style>
                          <a:lnRef idx="1">
                            <a:srgbClr val="000000"/>
                          </a:lnRef>
                          <a:fillRef idx="0">
                            <a:srgbClr val="000000">
                              <a:alpha val="0"/>
                            </a:srgbClr>
                          </a:fillRef>
                          <a:effectRef idx="0">
                            <a:scrgbClr r="0" g="0" b="0"/>
                          </a:effectRef>
                          <a:fontRef idx="none"/>
                        </wps:style>
                        <wps:bodyPr/>
                      </wps:wsp>
                      <wps:wsp>
                        <wps:cNvPr id="12" name="Shape 252"/>
                        <wps:cNvSpPr/>
                        <wps:spPr>
                          <a:xfrm>
                            <a:off x="4477917" y="2500424"/>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3" name="Shape 253"/>
                        <wps:cNvSpPr/>
                        <wps:spPr>
                          <a:xfrm>
                            <a:off x="4605832" y="2500424"/>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4" name="Shape 254"/>
                        <wps:cNvSpPr/>
                        <wps:spPr>
                          <a:xfrm>
                            <a:off x="4605832" y="5607861"/>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5" name="Shape 255"/>
                        <wps:cNvSpPr/>
                        <wps:spPr>
                          <a:xfrm>
                            <a:off x="4477917" y="5607861"/>
                            <a:ext cx="0" cy="0"/>
                          </a:xfrm>
                          <a:custGeom>
                            <a:avLst/>
                            <a:gdLst/>
                            <a:ahLst/>
                            <a:cxnLst/>
                            <a:rect l="0" t="0" r="0" b="0"/>
                            <a:pathLst>
                              <a:path>
                                <a:moveTo>
                                  <a:pt x="0" y="0"/>
                                </a:moveTo>
                                <a:lnTo>
                                  <a:pt x="0" y="0"/>
                                </a:lnTo>
                              </a:path>
                            </a:pathLst>
                          </a:custGeom>
                          <a:ln w="15875" cap="rnd">
                            <a:round/>
                          </a:ln>
                        </wps:spPr>
                        <wps:style>
                          <a:lnRef idx="1">
                            <a:srgbClr val="000000"/>
                          </a:lnRef>
                          <a:fillRef idx="0">
                            <a:srgbClr val="000000">
                              <a:alpha val="0"/>
                            </a:srgbClr>
                          </a:fillRef>
                          <a:effectRef idx="0">
                            <a:scrgbClr r="0" g="0" b="0"/>
                          </a:effectRef>
                          <a:fontRef idx="none"/>
                        </wps:style>
                        <wps:bodyPr/>
                      </wps:wsp>
                      <wps:wsp>
                        <wps:cNvPr id="16" name="Rectangle 16"/>
                        <wps:cNvSpPr/>
                        <wps:spPr>
                          <a:xfrm rot="-5399999">
                            <a:off x="4168622" y="1345408"/>
                            <a:ext cx="1231533" cy="262723"/>
                          </a:xfrm>
                          <a:prstGeom prst="rect">
                            <a:avLst/>
                          </a:prstGeom>
                          <a:ln>
                            <a:noFill/>
                          </a:ln>
                        </wps:spPr>
                        <wps:txbx>
                          <w:txbxContent>
                            <w:p w14:paraId="177825B2" w14:textId="77777777" w:rsidR="00F21187" w:rsidRDefault="00F21187" w:rsidP="00F21187">
                              <w:bookmarkStart w:id="5" w:name="_Hlk77935178"/>
                              <w:bookmarkEnd w:id="5"/>
                              <w:r>
                                <w:rPr>
                                  <w:rFonts w:ascii="Calibri" w:eastAsia="Calibri" w:hAnsi="Calibri" w:cs="Calibri"/>
                                  <w:b/>
                                  <w:sz w:val="28"/>
                                </w:rPr>
                                <w:t>Experimental</w:t>
                              </w:r>
                            </w:p>
                          </w:txbxContent>
                        </wps:txbx>
                        <wps:bodyPr vert="horz" lIns="0" tIns="0" rIns="0" bIns="0" rtlCol="0">
                          <a:noAutofit/>
                        </wps:bodyPr>
                      </wps:wsp>
                      <wps:wsp>
                        <wps:cNvPr id="17" name="Rectangle 17"/>
                        <wps:cNvSpPr/>
                        <wps:spPr>
                          <a:xfrm rot="-5399999">
                            <a:off x="-977110" y="2426766"/>
                            <a:ext cx="2216944" cy="262723"/>
                          </a:xfrm>
                          <a:prstGeom prst="rect">
                            <a:avLst/>
                          </a:prstGeom>
                          <a:ln>
                            <a:noFill/>
                          </a:ln>
                        </wps:spPr>
                        <wps:txbx>
                          <w:txbxContent>
                            <w:p w14:paraId="0B3DAFA7" w14:textId="77777777" w:rsidR="00F21187" w:rsidRDefault="00F21187" w:rsidP="00F21187">
                              <w:r>
                                <w:rPr>
                                  <w:rFonts w:ascii="Calibri" w:eastAsia="Calibri" w:hAnsi="Calibri" w:cs="Calibri"/>
                                  <w:b/>
                                  <w:sz w:val="28"/>
                                </w:rPr>
                                <w:t>Strength</w:t>
                              </w:r>
                              <w:r>
                                <w:rPr>
                                  <w:rFonts w:ascii="Calibri" w:eastAsia="Calibri" w:hAnsi="Calibri" w:cs="Calibri"/>
                                  <w:b/>
                                  <w:spacing w:val="-374"/>
                                  <w:sz w:val="28"/>
                                </w:rPr>
                                <w:t xml:space="preserve"> </w:t>
                              </w:r>
                              <w:r>
                                <w:rPr>
                                  <w:rFonts w:ascii="Calibri" w:eastAsia="Calibri" w:hAnsi="Calibri" w:cs="Calibri"/>
                                  <w:b/>
                                  <w:sz w:val="28"/>
                                </w:rPr>
                                <w:t>of</w:t>
                              </w:r>
                              <w:r>
                                <w:rPr>
                                  <w:rFonts w:ascii="Calibri" w:eastAsia="Calibri" w:hAnsi="Calibri" w:cs="Calibri"/>
                                  <w:b/>
                                  <w:spacing w:val="-374"/>
                                  <w:sz w:val="28"/>
                                </w:rPr>
                                <w:t xml:space="preserve"> </w:t>
                              </w:r>
                              <w:r>
                                <w:rPr>
                                  <w:rFonts w:ascii="Calibri" w:eastAsia="Calibri" w:hAnsi="Calibri" w:cs="Calibri"/>
                                  <w:b/>
                                  <w:sz w:val="28"/>
                                </w:rPr>
                                <w:t>conclusions</w:t>
                              </w:r>
                            </w:p>
                          </w:txbxContent>
                        </wps:txbx>
                        <wps:bodyPr vert="horz" lIns="0" tIns="0" rIns="0" bIns="0" rtlCol="0">
                          <a:noAutofit/>
                        </wps:bodyPr>
                      </wps:wsp>
                      <wps:wsp>
                        <wps:cNvPr id="18" name="Rectangle 18"/>
                        <wps:cNvSpPr/>
                        <wps:spPr>
                          <a:xfrm rot="-5399999">
                            <a:off x="4131956" y="3760783"/>
                            <a:ext cx="1304865" cy="262723"/>
                          </a:xfrm>
                          <a:prstGeom prst="rect">
                            <a:avLst/>
                          </a:prstGeom>
                          <a:ln>
                            <a:noFill/>
                          </a:ln>
                        </wps:spPr>
                        <wps:txbx>
                          <w:txbxContent>
                            <w:p w14:paraId="7F4C5E63" w14:textId="77777777" w:rsidR="00F21187" w:rsidRDefault="00F21187" w:rsidP="00F21187">
                              <w:r>
                                <w:rPr>
                                  <w:rFonts w:ascii="Calibri" w:eastAsia="Calibri" w:hAnsi="Calibri" w:cs="Calibri"/>
                                  <w:b/>
                                  <w:sz w:val="28"/>
                                </w:rPr>
                                <w:t>Observational</w:t>
                              </w:r>
                            </w:p>
                          </w:txbxContent>
                        </wps:txbx>
                        <wps:bodyPr vert="horz" lIns="0" tIns="0" rIns="0" bIns="0" rtlCol="0">
                          <a:noAutofit/>
                        </wps:bodyPr>
                      </wps:wsp>
                      <wps:wsp>
                        <wps:cNvPr id="19" name="Shape 77653"/>
                        <wps:cNvSpPr/>
                        <wps:spPr>
                          <a:xfrm>
                            <a:off x="425234" y="12974"/>
                            <a:ext cx="4036493" cy="810857"/>
                          </a:xfrm>
                          <a:custGeom>
                            <a:avLst/>
                            <a:gdLst/>
                            <a:ahLst/>
                            <a:cxnLst/>
                            <a:rect l="0" t="0" r="0" b="0"/>
                            <a:pathLst>
                              <a:path w="4036493" h="810857">
                                <a:moveTo>
                                  <a:pt x="0" y="0"/>
                                </a:moveTo>
                                <a:lnTo>
                                  <a:pt x="4036493" y="0"/>
                                </a:lnTo>
                                <a:lnTo>
                                  <a:pt x="4036493" y="810857"/>
                                </a:lnTo>
                                <a:lnTo>
                                  <a:pt x="0" y="810857"/>
                                </a:lnTo>
                                <a:lnTo>
                                  <a:pt x="0" y="0"/>
                                </a:lnTo>
                              </a:path>
                            </a:pathLst>
                          </a:custGeom>
                          <a:ln w="0" cap="rnd">
                            <a:round/>
                          </a:ln>
                        </wps:spPr>
                        <wps:style>
                          <a:lnRef idx="0">
                            <a:srgbClr val="FFFFFF"/>
                          </a:lnRef>
                          <a:fillRef idx="1">
                            <a:srgbClr val="12A537"/>
                          </a:fillRef>
                          <a:effectRef idx="0">
                            <a:scrgbClr r="0" g="0" b="0"/>
                          </a:effectRef>
                          <a:fontRef idx="none"/>
                        </wps:style>
                        <wps:bodyPr/>
                      </wps:wsp>
                      <wps:wsp>
                        <wps:cNvPr id="20" name="Shape 260"/>
                        <wps:cNvSpPr/>
                        <wps:spPr>
                          <a:xfrm>
                            <a:off x="425233" y="700329"/>
                            <a:ext cx="4036492" cy="931227"/>
                          </a:xfrm>
                          <a:custGeom>
                            <a:avLst/>
                            <a:gdLst/>
                            <a:ahLst/>
                            <a:cxnLst/>
                            <a:rect l="0" t="0" r="0" b="0"/>
                            <a:pathLst>
                              <a:path w="4036492" h="931227">
                                <a:moveTo>
                                  <a:pt x="649503" y="0"/>
                                </a:moveTo>
                                <a:lnTo>
                                  <a:pt x="769620" y="120777"/>
                                </a:lnTo>
                                <a:lnTo>
                                  <a:pt x="4036492" y="120777"/>
                                </a:lnTo>
                                <a:lnTo>
                                  <a:pt x="4036492" y="931227"/>
                                </a:lnTo>
                                <a:lnTo>
                                  <a:pt x="0" y="931227"/>
                                </a:lnTo>
                                <a:lnTo>
                                  <a:pt x="0" y="120777"/>
                                </a:lnTo>
                                <a:lnTo>
                                  <a:pt x="529400" y="120777"/>
                                </a:lnTo>
                                <a:lnTo>
                                  <a:pt x="649503" y="0"/>
                                </a:lnTo>
                                <a:close/>
                              </a:path>
                            </a:pathLst>
                          </a:custGeom>
                          <a:ln w="0" cap="rnd">
                            <a:round/>
                          </a:ln>
                        </wps:spPr>
                        <wps:style>
                          <a:lnRef idx="0">
                            <a:srgbClr val="000000">
                              <a:alpha val="0"/>
                            </a:srgbClr>
                          </a:lnRef>
                          <a:fillRef idx="1">
                            <a:srgbClr val="3BAB43"/>
                          </a:fillRef>
                          <a:effectRef idx="0">
                            <a:scrgbClr r="0" g="0" b="0"/>
                          </a:effectRef>
                          <a:fontRef idx="none"/>
                        </wps:style>
                        <wps:bodyPr/>
                      </wps:wsp>
                      <wps:wsp>
                        <wps:cNvPr id="21" name="Shape 261"/>
                        <wps:cNvSpPr/>
                        <wps:spPr>
                          <a:xfrm>
                            <a:off x="425233" y="700329"/>
                            <a:ext cx="4036492" cy="931227"/>
                          </a:xfrm>
                          <a:custGeom>
                            <a:avLst/>
                            <a:gdLst/>
                            <a:ahLst/>
                            <a:cxnLst/>
                            <a:rect l="0" t="0" r="0" b="0"/>
                            <a:pathLst>
                              <a:path w="4036492" h="931227">
                                <a:moveTo>
                                  <a:pt x="4036492" y="120777"/>
                                </a:moveTo>
                                <a:lnTo>
                                  <a:pt x="769620" y="120777"/>
                                </a:lnTo>
                                <a:lnTo>
                                  <a:pt x="649503" y="0"/>
                                </a:lnTo>
                                <a:lnTo>
                                  <a:pt x="529400" y="120777"/>
                                </a:lnTo>
                                <a:lnTo>
                                  <a:pt x="0" y="120777"/>
                                </a:lnTo>
                                <a:lnTo>
                                  <a:pt x="0" y="931227"/>
                                </a:lnTo>
                                <a:lnTo>
                                  <a:pt x="4036492" y="931227"/>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2" name="Shape 262"/>
                        <wps:cNvSpPr/>
                        <wps:spPr>
                          <a:xfrm>
                            <a:off x="425233" y="1508063"/>
                            <a:ext cx="4036492" cy="931227"/>
                          </a:xfrm>
                          <a:custGeom>
                            <a:avLst/>
                            <a:gdLst/>
                            <a:ahLst/>
                            <a:cxnLst/>
                            <a:rect l="0" t="0" r="0" b="0"/>
                            <a:pathLst>
                              <a:path w="4036492" h="931227">
                                <a:moveTo>
                                  <a:pt x="649503" y="0"/>
                                </a:moveTo>
                                <a:lnTo>
                                  <a:pt x="769620" y="120777"/>
                                </a:lnTo>
                                <a:lnTo>
                                  <a:pt x="4036492" y="120777"/>
                                </a:lnTo>
                                <a:lnTo>
                                  <a:pt x="4036492" y="931227"/>
                                </a:lnTo>
                                <a:lnTo>
                                  <a:pt x="0" y="931227"/>
                                </a:lnTo>
                                <a:lnTo>
                                  <a:pt x="0" y="120777"/>
                                </a:lnTo>
                                <a:lnTo>
                                  <a:pt x="529400" y="120777"/>
                                </a:lnTo>
                                <a:lnTo>
                                  <a:pt x="649503" y="0"/>
                                </a:lnTo>
                                <a:close/>
                              </a:path>
                            </a:pathLst>
                          </a:custGeom>
                          <a:ln w="0" cap="rnd">
                            <a:round/>
                          </a:ln>
                        </wps:spPr>
                        <wps:style>
                          <a:lnRef idx="0">
                            <a:srgbClr val="000000">
                              <a:alpha val="0"/>
                            </a:srgbClr>
                          </a:lnRef>
                          <a:fillRef idx="1">
                            <a:srgbClr val="53B04E"/>
                          </a:fillRef>
                          <a:effectRef idx="0">
                            <a:scrgbClr r="0" g="0" b="0"/>
                          </a:effectRef>
                          <a:fontRef idx="none"/>
                        </wps:style>
                        <wps:bodyPr/>
                      </wps:wsp>
                      <wps:wsp>
                        <wps:cNvPr id="23" name="Shape 263"/>
                        <wps:cNvSpPr/>
                        <wps:spPr>
                          <a:xfrm>
                            <a:off x="425233" y="1508063"/>
                            <a:ext cx="4036492" cy="931227"/>
                          </a:xfrm>
                          <a:custGeom>
                            <a:avLst/>
                            <a:gdLst/>
                            <a:ahLst/>
                            <a:cxnLst/>
                            <a:rect l="0" t="0" r="0" b="0"/>
                            <a:pathLst>
                              <a:path w="4036492" h="931227">
                                <a:moveTo>
                                  <a:pt x="4036492" y="120777"/>
                                </a:moveTo>
                                <a:lnTo>
                                  <a:pt x="769620" y="120777"/>
                                </a:lnTo>
                                <a:lnTo>
                                  <a:pt x="649503" y="0"/>
                                </a:lnTo>
                                <a:lnTo>
                                  <a:pt x="529400" y="120777"/>
                                </a:lnTo>
                                <a:lnTo>
                                  <a:pt x="0" y="120777"/>
                                </a:lnTo>
                                <a:lnTo>
                                  <a:pt x="0" y="931227"/>
                                </a:lnTo>
                                <a:lnTo>
                                  <a:pt x="4036492" y="931227"/>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4" name="Shape 264"/>
                        <wps:cNvSpPr/>
                        <wps:spPr>
                          <a:xfrm>
                            <a:off x="425233" y="2315797"/>
                            <a:ext cx="4036492" cy="931228"/>
                          </a:xfrm>
                          <a:custGeom>
                            <a:avLst/>
                            <a:gdLst/>
                            <a:ahLst/>
                            <a:cxnLst/>
                            <a:rect l="0" t="0" r="0" b="0"/>
                            <a:pathLst>
                              <a:path w="4036492" h="931228">
                                <a:moveTo>
                                  <a:pt x="649503" y="0"/>
                                </a:moveTo>
                                <a:lnTo>
                                  <a:pt x="769620" y="120777"/>
                                </a:lnTo>
                                <a:lnTo>
                                  <a:pt x="4036492" y="120777"/>
                                </a:lnTo>
                                <a:lnTo>
                                  <a:pt x="4036492" y="931228"/>
                                </a:lnTo>
                                <a:lnTo>
                                  <a:pt x="0" y="931228"/>
                                </a:lnTo>
                                <a:lnTo>
                                  <a:pt x="0" y="120777"/>
                                </a:lnTo>
                                <a:lnTo>
                                  <a:pt x="529400" y="120777"/>
                                </a:lnTo>
                                <a:lnTo>
                                  <a:pt x="649503" y="0"/>
                                </a:lnTo>
                                <a:close/>
                              </a:path>
                            </a:pathLst>
                          </a:custGeom>
                          <a:ln w="0" cap="rnd">
                            <a:round/>
                          </a:ln>
                        </wps:spPr>
                        <wps:style>
                          <a:lnRef idx="0">
                            <a:srgbClr val="000000">
                              <a:alpha val="0"/>
                            </a:srgbClr>
                          </a:lnRef>
                          <a:fillRef idx="1">
                            <a:srgbClr val="68B65B"/>
                          </a:fillRef>
                          <a:effectRef idx="0">
                            <a:scrgbClr r="0" g="0" b="0"/>
                          </a:effectRef>
                          <a:fontRef idx="none"/>
                        </wps:style>
                        <wps:bodyPr/>
                      </wps:wsp>
                      <wps:wsp>
                        <wps:cNvPr id="25" name="Shape 265"/>
                        <wps:cNvSpPr/>
                        <wps:spPr>
                          <a:xfrm>
                            <a:off x="425233" y="2315797"/>
                            <a:ext cx="4036492" cy="931228"/>
                          </a:xfrm>
                          <a:custGeom>
                            <a:avLst/>
                            <a:gdLst/>
                            <a:ahLst/>
                            <a:cxnLst/>
                            <a:rect l="0" t="0" r="0" b="0"/>
                            <a:pathLst>
                              <a:path w="4036492" h="931228">
                                <a:moveTo>
                                  <a:pt x="4036492" y="120777"/>
                                </a:moveTo>
                                <a:lnTo>
                                  <a:pt x="769620" y="120777"/>
                                </a:lnTo>
                                <a:lnTo>
                                  <a:pt x="649503" y="0"/>
                                </a:lnTo>
                                <a:lnTo>
                                  <a:pt x="529400" y="120777"/>
                                </a:lnTo>
                                <a:lnTo>
                                  <a:pt x="0" y="120777"/>
                                </a:lnTo>
                                <a:lnTo>
                                  <a:pt x="0" y="931228"/>
                                </a:lnTo>
                                <a:lnTo>
                                  <a:pt x="4036492" y="931228"/>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6" name="Shape 266"/>
                        <wps:cNvSpPr/>
                        <wps:spPr>
                          <a:xfrm>
                            <a:off x="425233" y="3123535"/>
                            <a:ext cx="4036492" cy="931228"/>
                          </a:xfrm>
                          <a:custGeom>
                            <a:avLst/>
                            <a:gdLst/>
                            <a:ahLst/>
                            <a:cxnLst/>
                            <a:rect l="0" t="0" r="0" b="0"/>
                            <a:pathLst>
                              <a:path w="4036492" h="931228">
                                <a:moveTo>
                                  <a:pt x="649503" y="0"/>
                                </a:moveTo>
                                <a:lnTo>
                                  <a:pt x="769620" y="120777"/>
                                </a:lnTo>
                                <a:lnTo>
                                  <a:pt x="4036492" y="120777"/>
                                </a:lnTo>
                                <a:lnTo>
                                  <a:pt x="4036492" y="931228"/>
                                </a:lnTo>
                                <a:lnTo>
                                  <a:pt x="0" y="931228"/>
                                </a:lnTo>
                                <a:lnTo>
                                  <a:pt x="0" y="120777"/>
                                </a:lnTo>
                                <a:lnTo>
                                  <a:pt x="529400" y="120777"/>
                                </a:lnTo>
                                <a:lnTo>
                                  <a:pt x="649503" y="0"/>
                                </a:lnTo>
                                <a:close/>
                              </a:path>
                            </a:pathLst>
                          </a:custGeom>
                          <a:ln w="0" cap="rnd">
                            <a:round/>
                          </a:ln>
                        </wps:spPr>
                        <wps:style>
                          <a:lnRef idx="0">
                            <a:srgbClr val="000000">
                              <a:alpha val="0"/>
                            </a:srgbClr>
                          </a:lnRef>
                          <a:fillRef idx="1">
                            <a:srgbClr val="7ABC6A"/>
                          </a:fillRef>
                          <a:effectRef idx="0">
                            <a:scrgbClr r="0" g="0" b="0"/>
                          </a:effectRef>
                          <a:fontRef idx="none"/>
                        </wps:style>
                        <wps:bodyPr/>
                      </wps:wsp>
                      <wps:wsp>
                        <wps:cNvPr id="27" name="Shape 267"/>
                        <wps:cNvSpPr/>
                        <wps:spPr>
                          <a:xfrm>
                            <a:off x="425233" y="3123535"/>
                            <a:ext cx="4036492" cy="931228"/>
                          </a:xfrm>
                          <a:custGeom>
                            <a:avLst/>
                            <a:gdLst/>
                            <a:ahLst/>
                            <a:cxnLst/>
                            <a:rect l="0" t="0" r="0" b="0"/>
                            <a:pathLst>
                              <a:path w="4036492" h="931228">
                                <a:moveTo>
                                  <a:pt x="4036492" y="120777"/>
                                </a:moveTo>
                                <a:lnTo>
                                  <a:pt x="769620" y="120777"/>
                                </a:lnTo>
                                <a:lnTo>
                                  <a:pt x="649503" y="0"/>
                                </a:lnTo>
                                <a:lnTo>
                                  <a:pt x="529400" y="120777"/>
                                </a:lnTo>
                                <a:lnTo>
                                  <a:pt x="0" y="120777"/>
                                </a:lnTo>
                                <a:lnTo>
                                  <a:pt x="0" y="931228"/>
                                </a:lnTo>
                                <a:lnTo>
                                  <a:pt x="4036492" y="931228"/>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28" name="Shape 268"/>
                        <wps:cNvSpPr/>
                        <wps:spPr>
                          <a:xfrm>
                            <a:off x="425233" y="3931267"/>
                            <a:ext cx="4036492" cy="931228"/>
                          </a:xfrm>
                          <a:custGeom>
                            <a:avLst/>
                            <a:gdLst/>
                            <a:ahLst/>
                            <a:cxnLst/>
                            <a:rect l="0" t="0" r="0" b="0"/>
                            <a:pathLst>
                              <a:path w="4036492" h="931228">
                                <a:moveTo>
                                  <a:pt x="649503" y="0"/>
                                </a:moveTo>
                                <a:lnTo>
                                  <a:pt x="769620" y="120777"/>
                                </a:lnTo>
                                <a:lnTo>
                                  <a:pt x="4036492" y="120777"/>
                                </a:lnTo>
                                <a:lnTo>
                                  <a:pt x="4036492" y="931228"/>
                                </a:lnTo>
                                <a:lnTo>
                                  <a:pt x="0" y="931228"/>
                                </a:lnTo>
                                <a:lnTo>
                                  <a:pt x="0" y="120777"/>
                                </a:lnTo>
                                <a:lnTo>
                                  <a:pt x="529400" y="120777"/>
                                </a:lnTo>
                                <a:lnTo>
                                  <a:pt x="649503" y="0"/>
                                </a:lnTo>
                                <a:close/>
                              </a:path>
                            </a:pathLst>
                          </a:custGeom>
                          <a:ln w="0" cap="rnd">
                            <a:round/>
                          </a:ln>
                        </wps:spPr>
                        <wps:style>
                          <a:lnRef idx="0">
                            <a:srgbClr val="000000">
                              <a:alpha val="0"/>
                            </a:srgbClr>
                          </a:lnRef>
                          <a:fillRef idx="1">
                            <a:srgbClr val="8BC379"/>
                          </a:fillRef>
                          <a:effectRef idx="0">
                            <a:scrgbClr r="0" g="0" b="0"/>
                          </a:effectRef>
                          <a:fontRef idx="none"/>
                        </wps:style>
                        <wps:bodyPr/>
                      </wps:wsp>
                      <wps:wsp>
                        <wps:cNvPr id="29" name="Shape 269"/>
                        <wps:cNvSpPr/>
                        <wps:spPr>
                          <a:xfrm>
                            <a:off x="425233" y="3931267"/>
                            <a:ext cx="4036492" cy="931228"/>
                          </a:xfrm>
                          <a:custGeom>
                            <a:avLst/>
                            <a:gdLst/>
                            <a:ahLst/>
                            <a:cxnLst/>
                            <a:rect l="0" t="0" r="0" b="0"/>
                            <a:pathLst>
                              <a:path w="4036492" h="931228">
                                <a:moveTo>
                                  <a:pt x="4036492" y="120777"/>
                                </a:moveTo>
                                <a:lnTo>
                                  <a:pt x="769620" y="120777"/>
                                </a:lnTo>
                                <a:lnTo>
                                  <a:pt x="649503" y="0"/>
                                </a:lnTo>
                                <a:lnTo>
                                  <a:pt x="529400" y="120777"/>
                                </a:lnTo>
                                <a:lnTo>
                                  <a:pt x="0" y="120777"/>
                                </a:lnTo>
                                <a:lnTo>
                                  <a:pt x="0" y="931228"/>
                                </a:lnTo>
                                <a:lnTo>
                                  <a:pt x="4036492" y="931228"/>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30" name="Shape 270"/>
                        <wps:cNvSpPr/>
                        <wps:spPr>
                          <a:xfrm>
                            <a:off x="425231" y="4739006"/>
                            <a:ext cx="4036492" cy="931227"/>
                          </a:xfrm>
                          <a:custGeom>
                            <a:avLst/>
                            <a:gdLst/>
                            <a:ahLst/>
                            <a:cxnLst/>
                            <a:rect l="0" t="0" r="0" b="0"/>
                            <a:pathLst>
                              <a:path w="4036492" h="931227">
                                <a:moveTo>
                                  <a:pt x="649516" y="0"/>
                                </a:moveTo>
                                <a:lnTo>
                                  <a:pt x="769620" y="120777"/>
                                </a:lnTo>
                                <a:lnTo>
                                  <a:pt x="4036492" y="120777"/>
                                </a:lnTo>
                                <a:lnTo>
                                  <a:pt x="4036492" y="931227"/>
                                </a:lnTo>
                                <a:lnTo>
                                  <a:pt x="0" y="931227"/>
                                </a:lnTo>
                                <a:lnTo>
                                  <a:pt x="0" y="120777"/>
                                </a:lnTo>
                                <a:lnTo>
                                  <a:pt x="529400" y="120777"/>
                                </a:lnTo>
                                <a:lnTo>
                                  <a:pt x="649516" y="0"/>
                                </a:lnTo>
                                <a:close/>
                              </a:path>
                            </a:pathLst>
                          </a:custGeom>
                          <a:ln w="0" cap="rnd">
                            <a:round/>
                          </a:ln>
                        </wps:spPr>
                        <wps:style>
                          <a:lnRef idx="0">
                            <a:srgbClr val="000000">
                              <a:alpha val="0"/>
                            </a:srgbClr>
                          </a:lnRef>
                          <a:fillRef idx="1">
                            <a:srgbClr val="9AC988"/>
                          </a:fillRef>
                          <a:effectRef idx="0">
                            <a:scrgbClr r="0" g="0" b="0"/>
                          </a:effectRef>
                          <a:fontRef idx="none"/>
                        </wps:style>
                        <wps:bodyPr/>
                      </wps:wsp>
                      <wps:wsp>
                        <wps:cNvPr id="31" name="Shape 271"/>
                        <wps:cNvSpPr/>
                        <wps:spPr>
                          <a:xfrm>
                            <a:off x="425231" y="4739006"/>
                            <a:ext cx="4036492" cy="931227"/>
                          </a:xfrm>
                          <a:custGeom>
                            <a:avLst/>
                            <a:gdLst/>
                            <a:ahLst/>
                            <a:cxnLst/>
                            <a:rect l="0" t="0" r="0" b="0"/>
                            <a:pathLst>
                              <a:path w="4036492" h="931227">
                                <a:moveTo>
                                  <a:pt x="4036492" y="120777"/>
                                </a:moveTo>
                                <a:lnTo>
                                  <a:pt x="769620" y="120777"/>
                                </a:lnTo>
                                <a:lnTo>
                                  <a:pt x="649516" y="0"/>
                                </a:lnTo>
                                <a:lnTo>
                                  <a:pt x="529400" y="120777"/>
                                </a:lnTo>
                                <a:lnTo>
                                  <a:pt x="0" y="120777"/>
                                </a:lnTo>
                                <a:lnTo>
                                  <a:pt x="0" y="931227"/>
                                </a:lnTo>
                                <a:lnTo>
                                  <a:pt x="4036492" y="931227"/>
                                </a:lnTo>
                                <a:lnTo>
                                  <a:pt x="4036492" y="120777"/>
                                </a:lnTo>
                                <a:close/>
                              </a:path>
                            </a:pathLst>
                          </a:custGeom>
                          <a:ln w="16510" cap="rnd">
                            <a:round/>
                          </a:ln>
                        </wps:spPr>
                        <wps:style>
                          <a:lnRef idx="1">
                            <a:srgbClr val="FFFFFF"/>
                          </a:lnRef>
                          <a:fillRef idx="0">
                            <a:srgbClr val="000000">
                              <a:alpha val="0"/>
                            </a:srgbClr>
                          </a:fillRef>
                          <a:effectRef idx="0">
                            <a:scrgbClr r="0" g="0" b="0"/>
                          </a:effectRef>
                          <a:fontRef idx="none"/>
                        </wps:style>
                        <wps:bodyPr/>
                      </wps:wsp>
                      <wps:wsp>
                        <wps:cNvPr id="32" name="Rectangle 32"/>
                        <wps:cNvSpPr/>
                        <wps:spPr>
                          <a:xfrm>
                            <a:off x="512040" y="234692"/>
                            <a:ext cx="1576923" cy="229245"/>
                          </a:xfrm>
                          <a:prstGeom prst="rect">
                            <a:avLst/>
                          </a:prstGeom>
                          <a:ln>
                            <a:noFill/>
                          </a:ln>
                        </wps:spPr>
                        <wps:txbx>
                          <w:txbxContent>
                            <w:p w14:paraId="0B86986D" w14:textId="77777777" w:rsidR="00F21187" w:rsidRDefault="00F21187" w:rsidP="00F21187">
                              <w:r>
                                <w:rPr>
                                  <w:rFonts w:ascii="Calibri" w:eastAsia="Calibri" w:hAnsi="Calibri" w:cs="Calibri"/>
                                  <w:b/>
                                  <w:color w:val="FFFFFF"/>
                                  <w:w w:val="101"/>
                                </w:rPr>
                                <w:t>Systematic</w:t>
                              </w:r>
                              <w:r>
                                <w:rPr>
                                  <w:rFonts w:ascii="Calibri" w:eastAsia="Calibri" w:hAnsi="Calibri" w:cs="Calibri"/>
                                  <w:b/>
                                  <w:color w:val="FFFFFF"/>
                                  <w:spacing w:val="-3"/>
                                  <w:w w:val="101"/>
                                </w:rPr>
                                <w:t xml:space="preserve"> </w:t>
                              </w:r>
                              <w:r>
                                <w:rPr>
                                  <w:rFonts w:ascii="Calibri" w:eastAsia="Calibri" w:hAnsi="Calibri" w:cs="Calibri"/>
                                  <w:b/>
                                  <w:color w:val="FFFFFF"/>
                                  <w:w w:val="101"/>
                                </w:rPr>
                                <w:t>review</w:t>
                              </w:r>
                              <w:r>
                                <w:rPr>
                                  <w:rFonts w:ascii="Calibri" w:eastAsia="Calibri" w:hAnsi="Calibri" w:cs="Calibri"/>
                                  <w:b/>
                                  <w:color w:val="FFFFFF"/>
                                  <w:spacing w:val="-3"/>
                                  <w:w w:val="101"/>
                                </w:rPr>
                                <w:t xml:space="preserve">  </w:t>
                              </w:r>
                            </w:p>
                          </w:txbxContent>
                        </wps:txbx>
                        <wps:bodyPr vert="horz" lIns="0" tIns="0" rIns="0" bIns="0" rtlCol="0">
                          <a:noAutofit/>
                        </wps:bodyPr>
                      </wps:wsp>
                      <wps:wsp>
                        <wps:cNvPr id="33" name="Rectangle 33"/>
                        <wps:cNvSpPr/>
                        <wps:spPr>
                          <a:xfrm>
                            <a:off x="584277" y="418791"/>
                            <a:ext cx="1299032" cy="229245"/>
                          </a:xfrm>
                          <a:prstGeom prst="rect">
                            <a:avLst/>
                          </a:prstGeom>
                          <a:ln>
                            <a:noFill/>
                          </a:ln>
                        </wps:spPr>
                        <wps:txbx>
                          <w:txbxContent>
                            <w:p w14:paraId="150E3C24" w14:textId="77777777" w:rsidR="00F21187" w:rsidRDefault="00F21187" w:rsidP="00F21187">
                              <w:r>
                                <w:rPr>
                                  <w:rFonts w:ascii="Calibri" w:eastAsia="Calibri" w:hAnsi="Calibri" w:cs="Calibri"/>
                                  <w:b/>
                                  <w:color w:val="FFFFFF"/>
                                </w:rPr>
                                <w:t>&amp;</w:t>
                              </w:r>
                              <w:r>
                                <w:rPr>
                                  <w:rFonts w:ascii="Calibri" w:eastAsia="Calibri" w:hAnsi="Calibri" w:cs="Calibri"/>
                                  <w:b/>
                                  <w:color w:val="FFFFFF"/>
                                  <w:spacing w:val="-3"/>
                                </w:rPr>
                                <w:t xml:space="preserve"> </w:t>
                              </w:r>
                              <w:r>
                                <w:rPr>
                                  <w:rFonts w:ascii="Calibri" w:eastAsia="Calibri" w:hAnsi="Calibri" w:cs="Calibri"/>
                                  <w:b/>
                                  <w:color w:val="FFFFFF"/>
                                </w:rPr>
                                <w:t>meta-analysis</w:t>
                              </w:r>
                            </w:p>
                          </w:txbxContent>
                        </wps:txbx>
                        <wps:bodyPr vert="horz" lIns="0" tIns="0" rIns="0" bIns="0" rtlCol="0">
                          <a:noAutofit/>
                        </wps:bodyPr>
                      </wps:wsp>
                      <wps:wsp>
                        <wps:cNvPr id="34" name="Rectangle 34"/>
                        <wps:cNvSpPr/>
                        <wps:spPr>
                          <a:xfrm>
                            <a:off x="670231" y="1042412"/>
                            <a:ext cx="1070214" cy="229245"/>
                          </a:xfrm>
                          <a:prstGeom prst="rect">
                            <a:avLst/>
                          </a:prstGeom>
                          <a:ln>
                            <a:noFill/>
                          </a:ln>
                        </wps:spPr>
                        <wps:txbx>
                          <w:txbxContent>
                            <w:p w14:paraId="6F2288BB" w14:textId="77777777" w:rsidR="00F21187" w:rsidRDefault="00F21187" w:rsidP="00F21187">
                              <w:r>
                                <w:rPr>
                                  <w:rFonts w:ascii="Calibri" w:eastAsia="Calibri" w:hAnsi="Calibri" w:cs="Calibri"/>
                                  <w:b/>
                                  <w:color w:val="FFFFFF"/>
                                  <w:w w:val="98"/>
                                </w:rPr>
                                <w:t>Randomised-</w:t>
                              </w:r>
                            </w:p>
                          </w:txbxContent>
                        </wps:txbx>
                        <wps:bodyPr vert="horz" lIns="0" tIns="0" rIns="0" bIns="0" rtlCol="0">
                          <a:noAutofit/>
                        </wps:bodyPr>
                      </wps:wsp>
                      <wps:wsp>
                        <wps:cNvPr id="35" name="Rectangle 35"/>
                        <wps:cNvSpPr/>
                        <wps:spPr>
                          <a:xfrm>
                            <a:off x="621158" y="1226511"/>
                            <a:ext cx="1200747" cy="229245"/>
                          </a:xfrm>
                          <a:prstGeom prst="rect">
                            <a:avLst/>
                          </a:prstGeom>
                          <a:ln>
                            <a:noFill/>
                          </a:ln>
                        </wps:spPr>
                        <wps:txbx>
                          <w:txbxContent>
                            <w:p w14:paraId="43F29978" w14:textId="77777777" w:rsidR="00F21187" w:rsidRDefault="00F21187" w:rsidP="00F21187">
                              <w:r>
                                <w:rPr>
                                  <w:rFonts w:ascii="Calibri" w:eastAsia="Calibri" w:hAnsi="Calibri" w:cs="Calibri"/>
                                  <w:b/>
                                  <w:color w:val="FFFFFF"/>
                                </w:rPr>
                                <w:t>controlled</w:t>
                              </w:r>
                              <w:r>
                                <w:rPr>
                                  <w:rFonts w:ascii="Calibri" w:eastAsia="Calibri" w:hAnsi="Calibri" w:cs="Calibri"/>
                                  <w:b/>
                                  <w:color w:val="FFFFFF"/>
                                  <w:spacing w:val="-3"/>
                                </w:rPr>
                                <w:t xml:space="preserve"> </w:t>
                              </w:r>
                              <w:r>
                                <w:rPr>
                                  <w:rFonts w:ascii="Calibri" w:eastAsia="Calibri" w:hAnsi="Calibri" w:cs="Calibri"/>
                                  <w:b/>
                                  <w:color w:val="FFFFFF"/>
                                </w:rPr>
                                <w:t>trial</w:t>
                              </w:r>
                            </w:p>
                          </w:txbxContent>
                        </wps:txbx>
                        <wps:bodyPr vert="horz" lIns="0" tIns="0" rIns="0" bIns="0" rtlCol="0">
                          <a:noAutofit/>
                        </wps:bodyPr>
                      </wps:wsp>
                      <wps:wsp>
                        <wps:cNvPr id="36" name="Rectangle 36"/>
                        <wps:cNvSpPr/>
                        <wps:spPr>
                          <a:xfrm>
                            <a:off x="525451" y="1942182"/>
                            <a:ext cx="1455308" cy="229245"/>
                          </a:xfrm>
                          <a:prstGeom prst="rect">
                            <a:avLst/>
                          </a:prstGeom>
                          <a:ln>
                            <a:noFill/>
                          </a:ln>
                        </wps:spPr>
                        <wps:txbx>
                          <w:txbxContent>
                            <w:p w14:paraId="26C7FA31" w14:textId="77777777" w:rsidR="00F21187" w:rsidRDefault="00F21187" w:rsidP="00F21187">
                              <w:r>
                                <w:rPr>
                                  <w:rFonts w:ascii="Calibri" w:eastAsia="Calibri" w:hAnsi="Calibri" w:cs="Calibri"/>
                                  <w:b/>
                                  <w:color w:val="FFFFFF"/>
                                  <w:w w:val="99"/>
                                </w:rPr>
                                <w:t>Quasi-experiment</w:t>
                              </w:r>
                            </w:p>
                          </w:txbxContent>
                        </wps:txbx>
                        <wps:bodyPr vert="horz" lIns="0" tIns="0" rIns="0" bIns="0" rtlCol="0">
                          <a:noAutofit/>
                        </wps:bodyPr>
                      </wps:wsp>
                      <wps:wsp>
                        <wps:cNvPr id="37" name="Rectangle 37"/>
                        <wps:cNvSpPr/>
                        <wps:spPr>
                          <a:xfrm>
                            <a:off x="669926" y="2749902"/>
                            <a:ext cx="1071004" cy="229245"/>
                          </a:xfrm>
                          <a:prstGeom prst="rect">
                            <a:avLst/>
                          </a:prstGeom>
                          <a:ln>
                            <a:noFill/>
                          </a:ln>
                        </wps:spPr>
                        <wps:txbx>
                          <w:txbxContent>
                            <w:p w14:paraId="0CB8635E" w14:textId="77777777" w:rsidR="00F21187" w:rsidRDefault="00F21187" w:rsidP="00F21187">
                              <w:r>
                                <w:rPr>
                                  <w:rFonts w:ascii="Calibri" w:eastAsia="Calibri" w:hAnsi="Calibri" w:cs="Calibri"/>
                                  <w:b/>
                                  <w:color w:val="FFFFFF"/>
                                  <w:w w:val="102"/>
                                </w:rPr>
                                <w:t>Cohort</w:t>
                              </w:r>
                              <w:r>
                                <w:rPr>
                                  <w:rFonts w:ascii="Calibri" w:eastAsia="Calibri" w:hAnsi="Calibri" w:cs="Calibri"/>
                                  <w:b/>
                                  <w:color w:val="FFFFFF"/>
                                  <w:spacing w:val="-3"/>
                                  <w:w w:val="102"/>
                                </w:rPr>
                                <w:t xml:space="preserve"> </w:t>
                              </w:r>
                              <w:r>
                                <w:rPr>
                                  <w:rFonts w:ascii="Calibri" w:eastAsia="Calibri" w:hAnsi="Calibri" w:cs="Calibri"/>
                                  <w:b/>
                                  <w:color w:val="FFFFFF"/>
                                  <w:w w:val="102"/>
                                </w:rPr>
                                <w:t>study</w:t>
                              </w:r>
                            </w:p>
                          </w:txbxContent>
                        </wps:txbx>
                        <wps:bodyPr vert="horz" lIns="0" tIns="0" rIns="0" bIns="0" rtlCol="0">
                          <a:noAutofit/>
                        </wps:bodyPr>
                      </wps:wsp>
                      <wps:wsp>
                        <wps:cNvPr id="38" name="Rectangle 38"/>
                        <wps:cNvSpPr/>
                        <wps:spPr>
                          <a:xfrm>
                            <a:off x="677851" y="3465572"/>
                            <a:ext cx="1135867" cy="229245"/>
                          </a:xfrm>
                          <a:prstGeom prst="rect">
                            <a:avLst/>
                          </a:prstGeom>
                          <a:ln>
                            <a:noFill/>
                          </a:ln>
                        </wps:spPr>
                        <wps:txbx>
                          <w:txbxContent>
                            <w:p w14:paraId="67FA32A6" w14:textId="77777777" w:rsidR="00F21187" w:rsidRDefault="00F21187" w:rsidP="00F21187">
                              <w:r>
                                <w:rPr>
                                  <w:rFonts w:ascii="Calibri" w:eastAsia="Calibri" w:hAnsi="Calibri" w:cs="Calibri"/>
                                  <w:b/>
                                  <w:color w:val="FFFFFF"/>
                                  <w:w w:val="101"/>
                                </w:rPr>
                                <w:t>Case-control</w:t>
                              </w:r>
                              <w:r>
                                <w:rPr>
                                  <w:rFonts w:ascii="Calibri" w:eastAsia="Calibri" w:hAnsi="Calibri" w:cs="Calibri"/>
                                  <w:b/>
                                  <w:color w:val="FFFFFF"/>
                                  <w:spacing w:val="-3"/>
                                  <w:w w:val="101"/>
                                </w:rPr>
                                <w:t xml:space="preserve">  </w:t>
                              </w:r>
                            </w:p>
                          </w:txbxContent>
                        </wps:txbx>
                        <wps:bodyPr vert="horz" lIns="0" tIns="0" rIns="0" bIns="0" rtlCol="0">
                          <a:noAutofit/>
                        </wps:bodyPr>
                      </wps:wsp>
                      <wps:wsp>
                        <wps:cNvPr id="39" name="Rectangle 39"/>
                        <wps:cNvSpPr/>
                        <wps:spPr>
                          <a:xfrm>
                            <a:off x="898068" y="3649672"/>
                            <a:ext cx="464164" cy="229245"/>
                          </a:xfrm>
                          <a:prstGeom prst="rect">
                            <a:avLst/>
                          </a:prstGeom>
                          <a:ln>
                            <a:noFill/>
                          </a:ln>
                        </wps:spPr>
                        <wps:txbx>
                          <w:txbxContent>
                            <w:p w14:paraId="3DA963FB" w14:textId="77777777" w:rsidR="00F21187" w:rsidRDefault="00F21187" w:rsidP="00F21187">
                              <w:r>
                                <w:rPr>
                                  <w:rFonts w:ascii="Calibri" w:eastAsia="Calibri" w:hAnsi="Calibri" w:cs="Calibri"/>
                                  <w:b/>
                                  <w:color w:val="FFFFFF"/>
                                  <w:w w:val="104"/>
                                </w:rPr>
                                <w:t>study</w:t>
                              </w:r>
                            </w:p>
                          </w:txbxContent>
                        </wps:txbx>
                        <wps:bodyPr vert="horz" lIns="0" tIns="0" rIns="0" bIns="0" rtlCol="0">
                          <a:noAutofit/>
                        </wps:bodyPr>
                      </wps:wsp>
                      <wps:wsp>
                        <wps:cNvPr id="40" name="Rectangle 40"/>
                        <wps:cNvSpPr/>
                        <wps:spPr>
                          <a:xfrm>
                            <a:off x="594792" y="4273293"/>
                            <a:ext cx="1313850" cy="229245"/>
                          </a:xfrm>
                          <a:prstGeom prst="rect">
                            <a:avLst/>
                          </a:prstGeom>
                          <a:ln>
                            <a:noFill/>
                          </a:ln>
                        </wps:spPr>
                        <wps:txbx>
                          <w:txbxContent>
                            <w:p w14:paraId="4C3FEF16" w14:textId="77777777" w:rsidR="00F21187" w:rsidRDefault="00F21187" w:rsidP="00F21187">
                              <w:r>
                                <w:rPr>
                                  <w:rFonts w:ascii="Calibri" w:eastAsia="Calibri" w:hAnsi="Calibri" w:cs="Calibri"/>
                                  <w:b/>
                                  <w:color w:val="FFFFFF"/>
                                  <w:w w:val="103"/>
                                </w:rPr>
                                <w:t>Cross-sectional</w:t>
                              </w:r>
                              <w:r>
                                <w:rPr>
                                  <w:rFonts w:ascii="Calibri" w:eastAsia="Calibri" w:hAnsi="Calibri" w:cs="Calibri"/>
                                  <w:b/>
                                  <w:color w:val="FFFFFF"/>
                                  <w:spacing w:val="-3"/>
                                  <w:w w:val="103"/>
                                </w:rPr>
                                <w:t xml:space="preserve"> </w:t>
                              </w:r>
                            </w:p>
                          </w:txbxContent>
                        </wps:txbx>
                        <wps:bodyPr vert="horz" lIns="0" tIns="0" rIns="0" bIns="0" rtlCol="0">
                          <a:noAutofit/>
                        </wps:bodyPr>
                      </wps:wsp>
                      <wps:wsp>
                        <wps:cNvPr id="41" name="Rectangle 41"/>
                        <wps:cNvSpPr/>
                        <wps:spPr>
                          <a:xfrm>
                            <a:off x="866522" y="4457392"/>
                            <a:ext cx="548079" cy="229245"/>
                          </a:xfrm>
                          <a:prstGeom prst="rect">
                            <a:avLst/>
                          </a:prstGeom>
                          <a:ln>
                            <a:noFill/>
                          </a:ln>
                        </wps:spPr>
                        <wps:txbx>
                          <w:txbxContent>
                            <w:p w14:paraId="3B9A8D9B" w14:textId="77777777" w:rsidR="00F21187" w:rsidRDefault="00F21187" w:rsidP="00F21187">
                              <w:r>
                                <w:rPr>
                                  <w:rFonts w:ascii="Calibri" w:eastAsia="Calibri" w:hAnsi="Calibri" w:cs="Calibri"/>
                                  <w:b/>
                                  <w:color w:val="FFFFFF"/>
                                  <w:w w:val="102"/>
                                </w:rPr>
                                <w:t>survey</w:t>
                              </w:r>
                            </w:p>
                          </w:txbxContent>
                        </wps:txbx>
                        <wps:bodyPr vert="horz" lIns="0" tIns="0" rIns="0" bIns="0" rtlCol="0">
                          <a:noAutofit/>
                        </wps:bodyPr>
                      </wps:wsp>
                      <wps:wsp>
                        <wps:cNvPr id="42" name="Rectangle 42"/>
                        <wps:cNvSpPr/>
                        <wps:spPr>
                          <a:xfrm>
                            <a:off x="681203" y="5173062"/>
                            <a:ext cx="1041005" cy="229244"/>
                          </a:xfrm>
                          <a:prstGeom prst="rect">
                            <a:avLst/>
                          </a:prstGeom>
                          <a:ln>
                            <a:noFill/>
                          </a:ln>
                        </wps:spPr>
                        <wps:txbx>
                          <w:txbxContent>
                            <w:p w14:paraId="6CE20D9A" w14:textId="77777777" w:rsidR="00F21187" w:rsidRDefault="00F21187" w:rsidP="00F21187">
                              <w:r>
                                <w:rPr>
                                  <w:rFonts w:ascii="Calibri" w:eastAsia="Calibri" w:hAnsi="Calibri" w:cs="Calibri"/>
                                  <w:b/>
                                  <w:color w:val="FFFFFF"/>
                                  <w:w w:val="101"/>
                                </w:rPr>
                                <w:t>Case</w:t>
                              </w:r>
                              <w:r>
                                <w:rPr>
                                  <w:rFonts w:ascii="Calibri" w:eastAsia="Calibri" w:hAnsi="Calibri" w:cs="Calibri"/>
                                  <w:b/>
                                  <w:color w:val="FFFFFF"/>
                                  <w:spacing w:val="-3"/>
                                  <w:w w:val="101"/>
                                </w:rPr>
                                <w:t xml:space="preserve"> </w:t>
                              </w:r>
                              <w:r>
                                <w:rPr>
                                  <w:rFonts w:ascii="Calibri" w:eastAsia="Calibri" w:hAnsi="Calibri" w:cs="Calibri"/>
                                  <w:b/>
                                  <w:color w:val="FFFFFF"/>
                                  <w:w w:val="101"/>
                                </w:rPr>
                                <w:t>reports</w:t>
                              </w:r>
                            </w:p>
                          </w:txbxContent>
                        </wps:txbx>
                        <wps:bodyPr vert="horz" lIns="0" tIns="0" rIns="0" bIns="0" rtlCol="0">
                          <a:noAutofit/>
                        </wps:bodyPr>
                      </wps:wsp>
                      <wps:wsp>
                        <wps:cNvPr id="43" name="Rectangle 43"/>
                        <wps:cNvSpPr/>
                        <wps:spPr>
                          <a:xfrm>
                            <a:off x="1805915" y="236369"/>
                            <a:ext cx="3250936" cy="221947"/>
                          </a:xfrm>
                          <a:prstGeom prst="rect">
                            <a:avLst/>
                          </a:prstGeom>
                          <a:ln>
                            <a:noFill/>
                          </a:ln>
                        </wps:spPr>
                        <wps:txbx>
                          <w:txbxContent>
                            <w:p w14:paraId="642174A9" w14:textId="77777777" w:rsidR="00F21187" w:rsidRDefault="00F21187" w:rsidP="00F21187">
                              <w:r>
                                <w:rPr>
                                  <w:color w:val="FFFFFF"/>
                                  <w:w w:val="96"/>
                                </w:rPr>
                                <w:t>Collects</w:t>
                              </w:r>
                              <w:r>
                                <w:rPr>
                                  <w:color w:val="FFFFFF"/>
                                  <w:spacing w:val="-1"/>
                                  <w:w w:val="96"/>
                                </w:rPr>
                                <w:t xml:space="preserve"> </w:t>
                              </w:r>
                              <w:r>
                                <w:rPr>
                                  <w:color w:val="FFFFFF"/>
                                  <w:w w:val="96"/>
                                </w:rPr>
                                <w:t>all</w:t>
                              </w:r>
                              <w:r>
                                <w:rPr>
                                  <w:color w:val="FFFFFF"/>
                                  <w:spacing w:val="-1"/>
                                  <w:w w:val="96"/>
                                </w:rPr>
                                <w:t xml:space="preserve"> </w:t>
                              </w:r>
                              <w:r>
                                <w:rPr>
                                  <w:color w:val="FFFFFF"/>
                                  <w:w w:val="96"/>
                                </w:rPr>
                                <w:t>previous</w:t>
                              </w:r>
                              <w:r>
                                <w:rPr>
                                  <w:color w:val="FFFFFF"/>
                                  <w:spacing w:val="-1"/>
                                  <w:w w:val="96"/>
                                </w:rPr>
                                <w:t xml:space="preserve"> </w:t>
                              </w:r>
                              <w:r>
                                <w:rPr>
                                  <w:color w:val="FFFFFF"/>
                                  <w:w w:val="96"/>
                                </w:rPr>
                                <w:t>studies</w:t>
                              </w:r>
                              <w:r>
                                <w:rPr>
                                  <w:color w:val="FFFFFF"/>
                                  <w:spacing w:val="-1"/>
                                  <w:w w:val="96"/>
                                </w:rPr>
                                <w:t xml:space="preserve"> </w:t>
                              </w:r>
                              <w:r>
                                <w:rPr>
                                  <w:color w:val="FFFFFF"/>
                                  <w:w w:val="96"/>
                                </w:rPr>
                                <w:t>on</w:t>
                              </w:r>
                              <w:r>
                                <w:rPr>
                                  <w:color w:val="FFFFFF"/>
                                  <w:spacing w:val="-1"/>
                                  <w:w w:val="96"/>
                                </w:rPr>
                                <w:t xml:space="preserve"> </w:t>
                              </w:r>
                              <w:r>
                                <w:rPr>
                                  <w:color w:val="FFFFFF"/>
                                  <w:w w:val="96"/>
                                </w:rPr>
                                <w:t>the</w:t>
                              </w:r>
                              <w:r>
                                <w:rPr>
                                  <w:color w:val="FFFFFF"/>
                                  <w:spacing w:val="-1"/>
                                  <w:w w:val="96"/>
                                </w:rPr>
                                <w:t xml:space="preserve"> </w:t>
                              </w:r>
                              <w:r>
                                <w:rPr>
                                  <w:color w:val="FFFFFF"/>
                                  <w:w w:val="96"/>
                                </w:rPr>
                                <w:t>topic</w:t>
                              </w:r>
                              <w:r>
                                <w:rPr>
                                  <w:color w:val="FFFFFF"/>
                                  <w:spacing w:val="-1"/>
                                  <w:w w:val="96"/>
                                </w:rPr>
                                <w:t xml:space="preserve">  </w:t>
                              </w:r>
                            </w:p>
                          </w:txbxContent>
                        </wps:txbx>
                        <wps:bodyPr vert="horz" lIns="0" tIns="0" rIns="0" bIns="0" rtlCol="0">
                          <a:noAutofit/>
                        </wps:bodyPr>
                      </wps:wsp>
                      <wps:wsp>
                        <wps:cNvPr id="44" name="Rectangle 44"/>
                        <wps:cNvSpPr/>
                        <wps:spPr>
                          <a:xfrm>
                            <a:off x="1805915" y="420468"/>
                            <a:ext cx="3008112" cy="221947"/>
                          </a:xfrm>
                          <a:prstGeom prst="rect">
                            <a:avLst/>
                          </a:prstGeom>
                          <a:ln>
                            <a:noFill/>
                          </a:ln>
                        </wps:spPr>
                        <wps:txbx>
                          <w:txbxContent>
                            <w:p w14:paraId="7FFA576C" w14:textId="77777777" w:rsidR="00F21187" w:rsidRDefault="00F21187" w:rsidP="00F21187">
                              <w:r>
                                <w:rPr>
                                  <w:color w:val="FFFFFF"/>
                                  <w:w w:val="96"/>
                                </w:rPr>
                                <w:t>and</w:t>
                              </w:r>
                              <w:r>
                                <w:rPr>
                                  <w:color w:val="FFFFFF"/>
                                  <w:spacing w:val="-1"/>
                                  <w:w w:val="96"/>
                                </w:rPr>
                                <w:t xml:space="preserve"> </w:t>
                              </w:r>
                              <w:r>
                                <w:rPr>
                                  <w:color w:val="FFFFFF"/>
                                  <w:w w:val="96"/>
                                </w:rPr>
                                <w:t>statistically</w:t>
                              </w:r>
                              <w:r>
                                <w:rPr>
                                  <w:color w:val="FFFFFF"/>
                                  <w:spacing w:val="-1"/>
                                  <w:w w:val="96"/>
                                </w:rPr>
                                <w:t xml:space="preserve"> </w:t>
                              </w:r>
                              <w:r>
                                <w:rPr>
                                  <w:color w:val="FFFFFF"/>
                                  <w:w w:val="96"/>
                                </w:rPr>
                                <w:t>combines</w:t>
                              </w:r>
                              <w:r>
                                <w:rPr>
                                  <w:color w:val="FFFFFF"/>
                                  <w:spacing w:val="-1"/>
                                  <w:w w:val="96"/>
                                </w:rPr>
                                <w:t xml:space="preserve"> </w:t>
                              </w:r>
                              <w:r>
                                <w:rPr>
                                  <w:color w:val="FFFFFF"/>
                                  <w:w w:val="96"/>
                                </w:rPr>
                                <w:t>their</w:t>
                              </w:r>
                              <w:r>
                                <w:rPr>
                                  <w:color w:val="FFFFFF"/>
                                  <w:spacing w:val="-1"/>
                                  <w:w w:val="96"/>
                                </w:rPr>
                                <w:t xml:space="preserve"> </w:t>
                              </w:r>
                              <w:r>
                                <w:rPr>
                                  <w:color w:val="FFFFFF"/>
                                  <w:w w:val="96"/>
                                </w:rPr>
                                <w:t>results</w:t>
                              </w:r>
                            </w:p>
                          </w:txbxContent>
                        </wps:txbx>
                        <wps:bodyPr vert="horz" lIns="0" tIns="0" rIns="0" bIns="0" rtlCol="0">
                          <a:noAutofit/>
                        </wps:bodyPr>
                      </wps:wsp>
                      <wps:wsp>
                        <wps:cNvPr id="45" name="Rectangle 45"/>
                        <wps:cNvSpPr/>
                        <wps:spPr>
                          <a:xfrm>
                            <a:off x="1805915" y="1044089"/>
                            <a:ext cx="2996559" cy="221947"/>
                          </a:xfrm>
                          <a:prstGeom prst="rect">
                            <a:avLst/>
                          </a:prstGeom>
                          <a:ln>
                            <a:noFill/>
                          </a:ln>
                        </wps:spPr>
                        <wps:txbx>
                          <w:txbxContent>
                            <w:p w14:paraId="7F55C99F" w14:textId="77777777" w:rsidR="00F21187" w:rsidRDefault="00F21187" w:rsidP="00F21187">
                              <w:r>
                                <w:rPr>
                                  <w:color w:val="FFFFFF"/>
                                  <w:w w:val="95"/>
                                </w:rPr>
                                <w:t>Randomly</w:t>
                              </w:r>
                              <w:r>
                                <w:rPr>
                                  <w:color w:val="FFFFFF"/>
                                  <w:spacing w:val="-1"/>
                                  <w:w w:val="95"/>
                                </w:rPr>
                                <w:t xml:space="preserve"> </w:t>
                              </w:r>
                              <w:r>
                                <w:rPr>
                                  <w:color w:val="FFFFFF"/>
                                  <w:w w:val="95"/>
                                </w:rPr>
                                <w:t>allocates</w:t>
                              </w:r>
                              <w:r>
                                <w:rPr>
                                  <w:color w:val="FFFFFF"/>
                                  <w:spacing w:val="-1"/>
                                  <w:w w:val="95"/>
                                </w:rPr>
                                <w:t xml:space="preserve"> </w:t>
                              </w:r>
                              <w:r>
                                <w:rPr>
                                  <w:color w:val="FFFFFF"/>
                                  <w:w w:val="95"/>
                                </w:rPr>
                                <w:t>people</w:t>
                              </w:r>
                              <w:r>
                                <w:rPr>
                                  <w:color w:val="FFFFFF"/>
                                  <w:spacing w:val="-1"/>
                                  <w:w w:val="95"/>
                                </w:rPr>
                                <w:t xml:space="preserve"> </w:t>
                              </w:r>
                              <w:r>
                                <w:rPr>
                                  <w:color w:val="FFFFFF"/>
                                  <w:w w:val="95"/>
                                </w:rPr>
                                <w:t>to</w:t>
                              </w:r>
                              <w:r>
                                <w:rPr>
                                  <w:color w:val="FFFFFF"/>
                                  <w:spacing w:val="-1"/>
                                  <w:w w:val="95"/>
                                </w:rPr>
                                <w:t xml:space="preserve"> </w:t>
                              </w:r>
                              <w:r>
                                <w:rPr>
                                  <w:color w:val="FFFFFF"/>
                                  <w:w w:val="95"/>
                                </w:rPr>
                                <w:t>receive</w:t>
                              </w:r>
                              <w:r>
                                <w:rPr>
                                  <w:color w:val="FFFFFF"/>
                                  <w:spacing w:val="-1"/>
                                  <w:w w:val="95"/>
                                </w:rPr>
                                <w:t xml:space="preserve">  </w:t>
                              </w:r>
                            </w:p>
                          </w:txbxContent>
                        </wps:txbx>
                        <wps:bodyPr vert="horz" lIns="0" tIns="0" rIns="0" bIns="0" rtlCol="0">
                          <a:noAutofit/>
                        </wps:bodyPr>
                      </wps:wsp>
                      <wps:wsp>
                        <wps:cNvPr id="46" name="Rectangle 46"/>
                        <wps:cNvSpPr/>
                        <wps:spPr>
                          <a:xfrm>
                            <a:off x="1805915" y="1228188"/>
                            <a:ext cx="2750105" cy="221947"/>
                          </a:xfrm>
                          <a:prstGeom prst="rect">
                            <a:avLst/>
                          </a:prstGeom>
                          <a:ln>
                            <a:noFill/>
                          </a:ln>
                        </wps:spPr>
                        <wps:txbx>
                          <w:txbxContent>
                            <w:p w14:paraId="365F24FF" w14:textId="77777777" w:rsidR="00F21187" w:rsidRDefault="00F21187" w:rsidP="00F21187">
                              <w:r>
                                <w:rPr>
                                  <w:color w:val="FFFFFF"/>
                                  <w:w w:val="95"/>
                                </w:rPr>
                                <w:t>one</w:t>
                              </w:r>
                              <w:r>
                                <w:rPr>
                                  <w:color w:val="FFFFFF"/>
                                  <w:spacing w:val="-1"/>
                                  <w:w w:val="95"/>
                                </w:rPr>
                                <w:t xml:space="preserve"> </w:t>
                              </w:r>
                              <w:r>
                                <w:rPr>
                                  <w:color w:val="FFFFFF"/>
                                  <w:w w:val="95"/>
                                </w:rPr>
                                <w:t>of</w:t>
                              </w:r>
                              <w:r>
                                <w:rPr>
                                  <w:color w:val="FFFFFF"/>
                                  <w:spacing w:val="-1"/>
                                  <w:w w:val="95"/>
                                </w:rPr>
                                <w:t xml:space="preserve"> </w:t>
                              </w:r>
                              <w:r>
                                <w:rPr>
                                  <w:color w:val="FFFFFF"/>
                                  <w:w w:val="95"/>
                                </w:rPr>
                                <w:t>several</w:t>
                              </w:r>
                              <w:r>
                                <w:rPr>
                                  <w:color w:val="FFFFFF"/>
                                  <w:spacing w:val="-1"/>
                                  <w:w w:val="95"/>
                                </w:rPr>
                                <w:t xml:space="preserve"> </w:t>
                              </w:r>
                              <w:r>
                                <w:rPr>
                                  <w:color w:val="FFFFFF"/>
                                  <w:w w:val="95"/>
                                </w:rPr>
                                <w:t>clinical</w:t>
                              </w:r>
                              <w:r>
                                <w:rPr>
                                  <w:color w:val="FFFFFF"/>
                                  <w:spacing w:val="-1"/>
                                  <w:w w:val="95"/>
                                </w:rPr>
                                <w:t xml:space="preserve"> </w:t>
                              </w:r>
                              <w:r>
                                <w:rPr>
                                  <w:color w:val="FFFFFF"/>
                                  <w:w w:val="95"/>
                                </w:rPr>
                                <w:t>interventions</w:t>
                              </w:r>
                            </w:p>
                          </w:txbxContent>
                        </wps:txbx>
                        <wps:bodyPr vert="horz" lIns="0" tIns="0" rIns="0" bIns="0" rtlCol="0">
                          <a:noAutofit/>
                        </wps:bodyPr>
                      </wps:wsp>
                      <wps:wsp>
                        <wps:cNvPr id="47" name="Rectangle 47"/>
                        <wps:cNvSpPr/>
                        <wps:spPr>
                          <a:xfrm>
                            <a:off x="1805915" y="1851809"/>
                            <a:ext cx="3312962" cy="221947"/>
                          </a:xfrm>
                          <a:prstGeom prst="rect">
                            <a:avLst/>
                          </a:prstGeom>
                          <a:ln>
                            <a:noFill/>
                          </a:ln>
                        </wps:spPr>
                        <wps:txbx>
                          <w:txbxContent>
                            <w:p w14:paraId="5B5BCD9A" w14:textId="77777777" w:rsidR="00F21187" w:rsidRDefault="00F21187" w:rsidP="00F21187">
                              <w:r>
                                <w:rPr>
                                  <w:color w:val="FFFFFF"/>
                                  <w:w w:val="96"/>
                                </w:rPr>
                                <w:t>Non-randomly</w:t>
                              </w:r>
                              <w:r>
                                <w:rPr>
                                  <w:color w:val="FFFFFF"/>
                                  <w:spacing w:val="-1"/>
                                  <w:w w:val="96"/>
                                </w:rPr>
                                <w:t xml:space="preserve"> </w:t>
                              </w:r>
                              <w:r>
                                <w:rPr>
                                  <w:color w:val="FFFFFF"/>
                                  <w:w w:val="96"/>
                                </w:rPr>
                                <w:t>assigns</w:t>
                              </w:r>
                              <w:r>
                                <w:rPr>
                                  <w:color w:val="FFFFFF"/>
                                  <w:spacing w:val="-1"/>
                                  <w:w w:val="96"/>
                                </w:rPr>
                                <w:t xml:space="preserve"> </w:t>
                              </w:r>
                              <w:r>
                                <w:rPr>
                                  <w:color w:val="FFFFFF"/>
                                  <w:w w:val="96"/>
                                </w:rPr>
                                <w:t>groups</w:t>
                              </w:r>
                              <w:r>
                                <w:rPr>
                                  <w:color w:val="FFFFFF"/>
                                  <w:spacing w:val="-1"/>
                                  <w:w w:val="96"/>
                                </w:rPr>
                                <w:t xml:space="preserve"> </w:t>
                              </w:r>
                              <w:r>
                                <w:rPr>
                                  <w:color w:val="FFFFFF"/>
                                  <w:w w:val="96"/>
                                </w:rPr>
                                <w:t>of</w:t>
                              </w:r>
                              <w:r>
                                <w:rPr>
                                  <w:color w:val="FFFFFF"/>
                                  <w:spacing w:val="-1"/>
                                  <w:w w:val="96"/>
                                </w:rPr>
                                <w:t xml:space="preserve"> </w:t>
                              </w:r>
                              <w:r>
                                <w:rPr>
                                  <w:color w:val="FFFFFF"/>
                                  <w:w w:val="96"/>
                                </w:rPr>
                                <w:t>patients</w:t>
                              </w:r>
                              <w:r>
                                <w:rPr>
                                  <w:color w:val="FFFFFF"/>
                                  <w:spacing w:val="-1"/>
                                  <w:w w:val="96"/>
                                </w:rPr>
                                <w:t xml:space="preserve">  </w:t>
                              </w:r>
                            </w:p>
                          </w:txbxContent>
                        </wps:txbx>
                        <wps:bodyPr vert="horz" lIns="0" tIns="0" rIns="0" bIns="0" rtlCol="0">
                          <a:noAutofit/>
                        </wps:bodyPr>
                      </wps:wsp>
                      <wps:wsp>
                        <wps:cNvPr id="48" name="Rectangle 48"/>
                        <wps:cNvSpPr/>
                        <wps:spPr>
                          <a:xfrm>
                            <a:off x="1805915" y="2035908"/>
                            <a:ext cx="3094255" cy="221947"/>
                          </a:xfrm>
                          <a:prstGeom prst="rect">
                            <a:avLst/>
                          </a:prstGeom>
                          <a:ln>
                            <a:noFill/>
                          </a:ln>
                        </wps:spPr>
                        <wps:txbx>
                          <w:txbxContent>
                            <w:p w14:paraId="44AA1276" w14:textId="77777777" w:rsidR="00F21187" w:rsidRDefault="00F21187" w:rsidP="00F21187">
                              <w:r>
                                <w:rPr>
                                  <w:color w:val="FFFFFF"/>
                                  <w:w w:val="94"/>
                                </w:rPr>
                                <w:t>to</w:t>
                              </w:r>
                              <w:r>
                                <w:rPr>
                                  <w:color w:val="FFFFFF"/>
                                  <w:spacing w:val="-1"/>
                                  <w:w w:val="94"/>
                                </w:rPr>
                                <w:t xml:space="preserve"> </w:t>
                              </w:r>
                              <w:r>
                                <w:rPr>
                                  <w:color w:val="FFFFFF"/>
                                  <w:w w:val="94"/>
                                </w:rPr>
                                <w:t>receive</w:t>
                              </w:r>
                              <w:r>
                                <w:rPr>
                                  <w:color w:val="FFFFFF"/>
                                  <w:spacing w:val="-1"/>
                                  <w:w w:val="94"/>
                                </w:rPr>
                                <w:t xml:space="preserve"> </w:t>
                              </w:r>
                              <w:r>
                                <w:rPr>
                                  <w:color w:val="FFFFFF"/>
                                  <w:w w:val="94"/>
                                </w:rPr>
                                <w:t>either</w:t>
                              </w:r>
                              <w:r>
                                <w:rPr>
                                  <w:color w:val="FFFFFF"/>
                                  <w:spacing w:val="-1"/>
                                  <w:w w:val="94"/>
                                </w:rPr>
                                <w:t xml:space="preserve"> </w:t>
                              </w:r>
                              <w:r>
                                <w:rPr>
                                  <w:color w:val="FFFFFF"/>
                                  <w:w w:val="94"/>
                                </w:rPr>
                                <w:t>a</w:t>
                              </w:r>
                              <w:r>
                                <w:rPr>
                                  <w:color w:val="FFFFFF"/>
                                  <w:spacing w:val="-1"/>
                                  <w:w w:val="94"/>
                                </w:rPr>
                                <w:t xml:space="preserve"> </w:t>
                              </w:r>
                              <w:r>
                                <w:rPr>
                                  <w:color w:val="FFFFFF"/>
                                  <w:w w:val="94"/>
                                </w:rPr>
                                <w:t>treatment</w:t>
                              </w:r>
                              <w:r>
                                <w:rPr>
                                  <w:color w:val="FFFFFF"/>
                                  <w:spacing w:val="-1"/>
                                  <w:w w:val="94"/>
                                </w:rPr>
                                <w:t xml:space="preserve"> </w:t>
                              </w:r>
                              <w:r>
                                <w:rPr>
                                  <w:color w:val="FFFFFF"/>
                                  <w:w w:val="94"/>
                                </w:rPr>
                                <w:t>or</w:t>
                              </w:r>
                              <w:r>
                                <w:rPr>
                                  <w:color w:val="FFFFFF"/>
                                  <w:spacing w:val="-1"/>
                                  <w:w w:val="94"/>
                                </w:rPr>
                                <w:t xml:space="preserve"> </w:t>
                              </w:r>
                              <w:r>
                                <w:rPr>
                                  <w:color w:val="FFFFFF"/>
                                  <w:w w:val="94"/>
                                </w:rPr>
                                <w:t>placebo</w:t>
                              </w:r>
                            </w:p>
                          </w:txbxContent>
                        </wps:txbx>
                        <wps:bodyPr vert="horz" lIns="0" tIns="0" rIns="0" bIns="0" rtlCol="0">
                          <a:noAutofit/>
                        </wps:bodyPr>
                      </wps:wsp>
                      <wps:wsp>
                        <wps:cNvPr id="49" name="Rectangle 49"/>
                        <wps:cNvSpPr/>
                        <wps:spPr>
                          <a:xfrm>
                            <a:off x="1805915" y="2659529"/>
                            <a:ext cx="3073197" cy="221947"/>
                          </a:xfrm>
                          <a:prstGeom prst="rect">
                            <a:avLst/>
                          </a:prstGeom>
                          <a:ln>
                            <a:noFill/>
                          </a:ln>
                        </wps:spPr>
                        <wps:txbx>
                          <w:txbxContent>
                            <w:p w14:paraId="65B16ADF" w14:textId="77777777" w:rsidR="00F21187" w:rsidRDefault="00F21187" w:rsidP="00F21187">
                              <w:r>
                                <w:rPr>
                                  <w:color w:val="FFFFFF"/>
                                  <w:w w:val="95"/>
                                </w:rPr>
                                <w:t>Follows</w:t>
                              </w:r>
                              <w:r>
                                <w:rPr>
                                  <w:color w:val="FFFFFF"/>
                                  <w:spacing w:val="-1"/>
                                  <w:w w:val="95"/>
                                </w:rPr>
                                <w:t xml:space="preserve"> </w:t>
                              </w:r>
                              <w:r>
                                <w:rPr>
                                  <w:color w:val="FFFFFF"/>
                                  <w:w w:val="95"/>
                                </w:rPr>
                                <w:t>a</w:t>
                              </w:r>
                              <w:r>
                                <w:rPr>
                                  <w:color w:val="FFFFFF"/>
                                  <w:spacing w:val="-1"/>
                                  <w:w w:val="95"/>
                                </w:rPr>
                                <w:t xml:space="preserve"> </w:t>
                              </w:r>
                              <w:r>
                                <w:rPr>
                                  <w:color w:val="FFFFFF"/>
                                  <w:w w:val="95"/>
                                </w:rPr>
                                <w:t>group</w:t>
                              </w:r>
                              <w:r>
                                <w:rPr>
                                  <w:color w:val="FFFFFF"/>
                                  <w:spacing w:val="-1"/>
                                  <w:w w:val="95"/>
                                </w:rPr>
                                <w:t xml:space="preserve"> </w:t>
                              </w:r>
                              <w:r>
                                <w:rPr>
                                  <w:color w:val="FFFFFF"/>
                                  <w:w w:val="95"/>
                                </w:rPr>
                                <w:t>of</w:t>
                              </w:r>
                              <w:r>
                                <w:rPr>
                                  <w:color w:val="FFFFFF"/>
                                  <w:spacing w:val="-1"/>
                                  <w:w w:val="95"/>
                                </w:rPr>
                                <w:t xml:space="preserve"> </w:t>
                              </w:r>
                              <w:r>
                                <w:rPr>
                                  <w:color w:val="FFFFFF"/>
                                  <w:w w:val="95"/>
                                </w:rPr>
                                <w:t>people</w:t>
                              </w:r>
                              <w:r>
                                <w:rPr>
                                  <w:color w:val="FFFFFF"/>
                                  <w:spacing w:val="-1"/>
                                  <w:w w:val="95"/>
                                </w:rPr>
                                <w:t xml:space="preserve"> </w:t>
                              </w:r>
                              <w:r>
                                <w:rPr>
                                  <w:color w:val="FFFFFF"/>
                                  <w:w w:val="95"/>
                                </w:rPr>
                                <w:t>to</w:t>
                              </w:r>
                              <w:r>
                                <w:rPr>
                                  <w:color w:val="FFFFFF"/>
                                  <w:spacing w:val="-1"/>
                                  <w:w w:val="95"/>
                                </w:rPr>
                                <w:t xml:space="preserve"> </w:t>
                              </w:r>
                              <w:r>
                                <w:rPr>
                                  <w:color w:val="FFFFFF"/>
                                  <w:w w:val="95"/>
                                </w:rPr>
                                <w:t>track</w:t>
                              </w:r>
                              <w:r>
                                <w:rPr>
                                  <w:color w:val="FFFFFF"/>
                                  <w:spacing w:val="-1"/>
                                  <w:w w:val="95"/>
                                </w:rPr>
                                <w:t xml:space="preserve"> </w:t>
                              </w:r>
                              <w:r>
                                <w:rPr>
                                  <w:color w:val="FFFFFF"/>
                                  <w:w w:val="95"/>
                                </w:rPr>
                                <w:t>risk</w:t>
                              </w:r>
                              <w:r>
                                <w:rPr>
                                  <w:color w:val="FFFFFF"/>
                                  <w:spacing w:val="-1"/>
                                  <w:w w:val="95"/>
                                </w:rPr>
                                <w:t xml:space="preserve">  </w:t>
                              </w:r>
                            </w:p>
                          </w:txbxContent>
                        </wps:txbx>
                        <wps:bodyPr vert="horz" lIns="0" tIns="0" rIns="0" bIns="0" rtlCol="0">
                          <a:noAutofit/>
                        </wps:bodyPr>
                      </wps:wsp>
                      <wps:wsp>
                        <wps:cNvPr id="50" name="Rectangle 50"/>
                        <wps:cNvSpPr/>
                        <wps:spPr>
                          <a:xfrm>
                            <a:off x="1805915" y="2843628"/>
                            <a:ext cx="2474646" cy="221948"/>
                          </a:xfrm>
                          <a:prstGeom prst="rect">
                            <a:avLst/>
                          </a:prstGeom>
                          <a:ln>
                            <a:noFill/>
                          </a:ln>
                        </wps:spPr>
                        <wps:txbx>
                          <w:txbxContent>
                            <w:p w14:paraId="44011B17" w14:textId="77777777" w:rsidR="00F21187" w:rsidRDefault="00F21187" w:rsidP="00F21187">
                              <w:r>
                                <w:rPr>
                                  <w:color w:val="FFFFFF"/>
                                  <w:w w:val="95"/>
                                </w:rPr>
                                <w:t>factors</w:t>
                              </w:r>
                              <w:r>
                                <w:rPr>
                                  <w:color w:val="FFFFFF"/>
                                  <w:spacing w:val="-1"/>
                                  <w:w w:val="95"/>
                                </w:rPr>
                                <w:t xml:space="preserve"> </w:t>
                              </w:r>
                              <w:r>
                                <w:rPr>
                                  <w:color w:val="FFFFFF"/>
                                  <w:w w:val="95"/>
                                </w:rPr>
                                <w:t>and</w:t>
                              </w:r>
                              <w:r>
                                <w:rPr>
                                  <w:color w:val="FFFFFF"/>
                                  <w:spacing w:val="-1"/>
                                  <w:w w:val="95"/>
                                </w:rPr>
                                <w:t xml:space="preserve"> </w:t>
                              </w:r>
                              <w:r>
                                <w:rPr>
                                  <w:color w:val="FFFFFF"/>
                                  <w:w w:val="95"/>
                                </w:rPr>
                                <w:t>outcomes</w:t>
                              </w:r>
                              <w:r>
                                <w:rPr>
                                  <w:color w:val="FFFFFF"/>
                                  <w:spacing w:val="-1"/>
                                  <w:w w:val="95"/>
                                </w:rPr>
                                <w:t xml:space="preserve"> </w:t>
                              </w:r>
                              <w:r>
                                <w:rPr>
                                  <w:color w:val="FFFFFF"/>
                                  <w:w w:val="95"/>
                                </w:rPr>
                                <w:t>over</w:t>
                              </w:r>
                              <w:r>
                                <w:rPr>
                                  <w:color w:val="FFFFFF"/>
                                  <w:spacing w:val="-1"/>
                                  <w:w w:val="95"/>
                                </w:rPr>
                                <w:t xml:space="preserve"> </w:t>
                              </w:r>
                              <w:r>
                                <w:rPr>
                                  <w:color w:val="FFFFFF"/>
                                  <w:w w:val="95"/>
                                </w:rPr>
                                <w:t>time</w:t>
                              </w:r>
                            </w:p>
                          </w:txbxContent>
                        </wps:txbx>
                        <wps:bodyPr vert="horz" lIns="0" tIns="0" rIns="0" bIns="0" rtlCol="0">
                          <a:noAutofit/>
                        </wps:bodyPr>
                      </wps:wsp>
                      <wps:wsp>
                        <wps:cNvPr id="51" name="Rectangle 51"/>
                        <wps:cNvSpPr/>
                        <wps:spPr>
                          <a:xfrm>
                            <a:off x="1805915" y="3467249"/>
                            <a:ext cx="3092878" cy="221948"/>
                          </a:xfrm>
                          <a:prstGeom prst="rect">
                            <a:avLst/>
                          </a:prstGeom>
                          <a:ln>
                            <a:noFill/>
                          </a:ln>
                        </wps:spPr>
                        <wps:txbx>
                          <w:txbxContent>
                            <w:p w14:paraId="3568A699" w14:textId="77777777" w:rsidR="00F21187" w:rsidRDefault="00F21187" w:rsidP="00F21187">
                              <w:r>
                                <w:rPr>
                                  <w:color w:val="FFFFFF"/>
                                  <w:spacing w:val="-4"/>
                                  <w:w w:val="92"/>
                                </w:rPr>
                                <w:t xml:space="preserve">Compares histories of a group of people </w:t>
                              </w:r>
                              <w:r>
                                <w:rPr>
                                  <w:color w:val="FFFFFF"/>
                                  <w:spacing w:val="-5"/>
                                  <w:w w:val="92"/>
                                </w:rPr>
                                <w:t xml:space="preserve"> </w:t>
                              </w:r>
                            </w:p>
                          </w:txbxContent>
                        </wps:txbx>
                        <wps:bodyPr vert="horz" lIns="0" tIns="0" rIns="0" bIns="0" rtlCol="0">
                          <a:noAutofit/>
                        </wps:bodyPr>
                      </wps:wsp>
                      <wps:wsp>
                        <wps:cNvPr id="52" name="Rectangle 52"/>
                        <wps:cNvSpPr/>
                        <wps:spPr>
                          <a:xfrm>
                            <a:off x="1805915" y="3651349"/>
                            <a:ext cx="3371761" cy="221947"/>
                          </a:xfrm>
                          <a:prstGeom prst="rect">
                            <a:avLst/>
                          </a:prstGeom>
                          <a:ln>
                            <a:noFill/>
                          </a:ln>
                        </wps:spPr>
                        <wps:txbx>
                          <w:txbxContent>
                            <w:p w14:paraId="4F22C727" w14:textId="77777777" w:rsidR="00F21187" w:rsidRDefault="00F21187" w:rsidP="00F21187">
                              <w:r>
                                <w:rPr>
                                  <w:color w:val="FFFFFF"/>
                                  <w:spacing w:val="-4"/>
                                  <w:w w:val="91"/>
                                </w:rPr>
                                <w:t>with a condition to a group of people without</w:t>
                              </w:r>
                            </w:p>
                          </w:txbxContent>
                        </wps:txbx>
                        <wps:bodyPr vert="horz" lIns="0" tIns="0" rIns="0" bIns="0" rtlCol="0">
                          <a:noAutofit/>
                        </wps:bodyPr>
                      </wps:wsp>
                      <wps:wsp>
                        <wps:cNvPr id="53" name="Rectangle 53"/>
                        <wps:cNvSpPr/>
                        <wps:spPr>
                          <a:xfrm>
                            <a:off x="1805915" y="4274970"/>
                            <a:ext cx="3365460" cy="221947"/>
                          </a:xfrm>
                          <a:prstGeom prst="rect">
                            <a:avLst/>
                          </a:prstGeom>
                          <a:ln>
                            <a:noFill/>
                          </a:ln>
                        </wps:spPr>
                        <wps:txbx>
                          <w:txbxContent>
                            <w:p w14:paraId="7F0FCC4F" w14:textId="77777777" w:rsidR="00F21187" w:rsidRDefault="00F21187" w:rsidP="00F21187">
                              <w:r>
                                <w:rPr>
                                  <w:color w:val="FFFFFF"/>
                                  <w:w w:val="96"/>
                                </w:rPr>
                                <w:t>Assesses</w:t>
                              </w:r>
                              <w:r>
                                <w:rPr>
                                  <w:color w:val="FFFFFF"/>
                                  <w:spacing w:val="-1"/>
                                  <w:w w:val="96"/>
                                </w:rPr>
                                <w:t xml:space="preserve"> </w:t>
                              </w:r>
                              <w:r>
                                <w:rPr>
                                  <w:color w:val="FFFFFF"/>
                                  <w:w w:val="96"/>
                                </w:rPr>
                                <w:t>the</w:t>
                              </w:r>
                              <w:r>
                                <w:rPr>
                                  <w:color w:val="FFFFFF"/>
                                  <w:spacing w:val="-1"/>
                                  <w:w w:val="96"/>
                                </w:rPr>
                                <w:t xml:space="preserve"> </w:t>
                              </w:r>
                              <w:r>
                                <w:rPr>
                                  <w:color w:val="FFFFFF"/>
                                  <w:w w:val="96"/>
                                </w:rPr>
                                <w:t>prevalence</w:t>
                              </w:r>
                              <w:r>
                                <w:rPr>
                                  <w:color w:val="FFFFFF"/>
                                  <w:spacing w:val="-1"/>
                                  <w:w w:val="96"/>
                                </w:rPr>
                                <w:t xml:space="preserve"> </w:t>
                              </w:r>
                              <w:r>
                                <w:rPr>
                                  <w:color w:val="FFFFFF"/>
                                  <w:w w:val="96"/>
                                </w:rPr>
                                <w:t>of</w:t>
                              </w:r>
                              <w:r>
                                <w:rPr>
                                  <w:color w:val="FFFFFF"/>
                                  <w:spacing w:val="-1"/>
                                  <w:w w:val="96"/>
                                </w:rPr>
                                <w:t xml:space="preserve"> </w:t>
                              </w:r>
                              <w:r>
                                <w:rPr>
                                  <w:color w:val="FFFFFF"/>
                                  <w:w w:val="96"/>
                                </w:rPr>
                                <w:t>an</w:t>
                              </w:r>
                              <w:r>
                                <w:rPr>
                                  <w:color w:val="FFFFFF"/>
                                  <w:spacing w:val="-1"/>
                                  <w:w w:val="96"/>
                                </w:rPr>
                                <w:t xml:space="preserve"> </w:t>
                              </w:r>
                              <w:r>
                                <w:rPr>
                                  <w:color w:val="FFFFFF"/>
                                  <w:w w:val="96"/>
                                </w:rPr>
                                <w:t>outcome</w:t>
                              </w:r>
                              <w:r>
                                <w:rPr>
                                  <w:color w:val="FFFFFF"/>
                                  <w:spacing w:val="-1"/>
                                  <w:w w:val="96"/>
                                </w:rPr>
                                <w:t xml:space="preserve"> </w:t>
                              </w:r>
                              <w:r>
                                <w:rPr>
                                  <w:color w:val="FFFFFF"/>
                                  <w:w w:val="96"/>
                                </w:rPr>
                                <w:t>in</w:t>
                              </w:r>
                              <w:r>
                                <w:rPr>
                                  <w:color w:val="FFFFFF"/>
                                  <w:spacing w:val="-1"/>
                                  <w:w w:val="96"/>
                                </w:rPr>
                                <w:t xml:space="preserve">  </w:t>
                              </w:r>
                            </w:p>
                          </w:txbxContent>
                        </wps:txbx>
                        <wps:bodyPr vert="horz" lIns="0" tIns="0" rIns="0" bIns="0" rtlCol="0">
                          <a:noAutofit/>
                        </wps:bodyPr>
                      </wps:wsp>
                      <wps:wsp>
                        <wps:cNvPr id="54" name="Rectangle 54"/>
                        <wps:cNvSpPr/>
                        <wps:spPr>
                          <a:xfrm>
                            <a:off x="1805915" y="4459069"/>
                            <a:ext cx="3028199" cy="221948"/>
                          </a:xfrm>
                          <a:prstGeom prst="rect">
                            <a:avLst/>
                          </a:prstGeom>
                          <a:ln>
                            <a:noFill/>
                          </a:ln>
                        </wps:spPr>
                        <wps:txbx>
                          <w:txbxContent>
                            <w:p w14:paraId="4463D502" w14:textId="77777777" w:rsidR="00F21187" w:rsidRDefault="00F21187" w:rsidP="00F21187">
                              <w:r>
                                <w:rPr>
                                  <w:color w:val="FFFFFF"/>
                                  <w:w w:val="94"/>
                                </w:rPr>
                                <w:t>a</w:t>
                              </w:r>
                              <w:r>
                                <w:rPr>
                                  <w:color w:val="FFFFFF"/>
                                  <w:spacing w:val="-1"/>
                                  <w:w w:val="94"/>
                                </w:rPr>
                                <w:t xml:space="preserve"> </w:t>
                              </w:r>
                              <w:r>
                                <w:rPr>
                                  <w:color w:val="FFFFFF"/>
                                  <w:w w:val="94"/>
                                </w:rPr>
                                <w:t>broad</w:t>
                              </w:r>
                              <w:r>
                                <w:rPr>
                                  <w:color w:val="FFFFFF"/>
                                  <w:spacing w:val="-1"/>
                                  <w:w w:val="94"/>
                                </w:rPr>
                                <w:t xml:space="preserve"> </w:t>
                              </w:r>
                              <w:r>
                                <w:rPr>
                                  <w:color w:val="FFFFFF"/>
                                  <w:w w:val="94"/>
                                </w:rPr>
                                <w:t>population</w:t>
                              </w:r>
                              <w:r>
                                <w:rPr>
                                  <w:color w:val="FFFFFF"/>
                                  <w:spacing w:val="-1"/>
                                  <w:w w:val="94"/>
                                </w:rPr>
                                <w:t xml:space="preserve"> </w:t>
                              </w:r>
                              <w:r>
                                <w:rPr>
                                  <w:color w:val="FFFFFF"/>
                                  <w:w w:val="94"/>
                                </w:rPr>
                                <w:t>at</w:t>
                              </w:r>
                              <w:r>
                                <w:rPr>
                                  <w:color w:val="FFFFFF"/>
                                  <w:spacing w:val="-1"/>
                                  <w:w w:val="94"/>
                                </w:rPr>
                                <w:t xml:space="preserve"> </w:t>
                              </w:r>
                              <w:r>
                                <w:rPr>
                                  <w:color w:val="FFFFFF"/>
                                  <w:w w:val="94"/>
                                </w:rPr>
                                <w:t>one</w:t>
                              </w:r>
                              <w:r>
                                <w:rPr>
                                  <w:color w:val="FFFFFF"/>
                                  <w:spacing w:val="-1"/>
                                  <w:w w:val="94"/>
                                </w:rPr>
                                <w:t xml:space="preserve"> </w:t>
                              </w:r>
                              <w:r>
                                <w:rPr>
                                  <w:color w:val="FFFFFF"/>
                                  <w:w w:val="94"/>
                                </w:rPr>
                                <w:t>point</w:t>
                              </w:r>
                              <w:r>
                                <w:rPr>
                                  <w:color w:val="FFFFFF"/>
                                  <w:spacing w:val="-1"/>
                                  <w:w w:val="94"/>
                                </w:rPr>
                                <w:t xml:space="preserve"> </w:t>
                              </w:r>
                              <w:r>
                                <w:rPr>
                                  <w:color w:val="FFFFFF"/>
                                  <w:w w:val="94"/>
                                </w:rPr>
                                <w:t>in</w:t>
                              </w:r>
                              <w:r>
                                <w:rPr>
                                  <w:color w:val="FFFFFF"/>
                                  <w:spacing w:val="-1"/>
                                  <w:w w:val="94"/>
                                </w:rPr>
                                <w:t xml:space="preserve"> </w:t>
                              </w:r>
                              <w:r>
                                <w:rPr>
                                  <w:color w:val="FFFFFF"/>
                                  <w:w w:val="94"/>
                                </w:rPr>
                                <w:t>time</w:t>
                              </w:r>
                            </w:p>
                          </w:txbxContent>
                        </wps:txbx>
                        <wps:bodyPr vert="horz" lIns="0" tIns="0" rIns="0" bIns="0" rtlCol="0">
                          <a:noAutofit/>
                        </wps:bodyPr>
                      </wps:wsp>
                      <wps:wsp>
                        <wps:cNvPr id="55" name="Rectangle 55"/>
                        <wps:cNvSpPr/>
                        <wps:spPr>
                          <a:xfrm>
                            <a:off x="1805915" y="5082690"/>
                            <a:ext cx="3087365" cy="221948"/>
                          </a:xfrm>
                          <a:prstGeom prst="rect">
                            <a:avLst/>
                          </a:prstGeom>
                          <a:ln>
                            <a:noFill/>
                          </a:ln>
                        </wps:spPr>
                        <wps:txbx>
                          <w:txbxContent>
                            <w:p w14:paraId="35EE234E" w14:textId="77777777" w:rsidR="00F21187" w:rsidRDefault="00F21187" w:rsidP="00F21187">
                              <w:r>
                                <w:rPr>
                                  <w:color w:val="FFFFFF"/>
                                  <w:w w:val="95"/>
                                </w:rPr>
                                <w:t>Detailed</w:t>
                              </w:r>
                              <w:r>
                                <w:rPr>
                                  <w:color w:val="FFFFFF"/>
                                  <w:spacing w:val="-1"/>
                                  <w:w w:val="95"/>
                                </w:rPr>
                                <w:t xml:space="preserve"> </w:t>
                              </w:r>
                              <w:r>
                                <w:rPr>
                                  <w:color w:val="FFFFFF"/>
                                  <w:w w:val="95"/>
                                </w:rPr>
                                <w:t>histories</w:t>
                              </w:r>
                              <w:r>
                                <w:rPr>
                                  <w:color w:val="FFFFFF"/>
                                  <w:spacing w:val="-1"/>
                                  <w:w w:val="95"/>
                                </w:rPr>
                                <w:t xml:space="preserve"> </w:t>
                              </w:r>
                              <w:r>
                                <w:rPr>
                                  <w:color w:val="FFFFFF"/>
                                  <w:w w:val="95"/>
                                </w:rPr>
                                <w:t>of</w:t>
                              </w:r>
                              <w:r>
                                <w:rPr>
                                  <w:color w:val="FFFFFF"/>
                                  <w:spacing w:val="-1"/>
                                  <w:w w:val="95"/>
                                </w:rPr>
                                <w:t xml:space="preserve"> </w:t>
                              </w:r>
                              <w:r>
                                <w:rPr>
                                  <w:color w:val="FFFFFF"/>
                                  <w:w w:val="95"/>
                                </w:rPr>
                                <w:t>a</w:t>
                              </w:r>
                              <w:r>
                                <w:rPr>
                                  <w:color w:val="FFFFFF"/>
                                  <w:spacing w:val="-1"/>
                                  <w:w w:val="95"/>
                                </w:rPr>
                                <w:t xml:space="preserve"> </w:t>
                              </w:r>
                              <w:r>
                                <w:rPr>
                                  <w:color w:val="FFFFFF"/>
                                  <w:w w:val="95"/>
                                </w:rPr>
                                <w:t>small</w:t>
                              </w:r>
                              <w:r>
                                <w:rPr>
                                  <w:color w:val="FFFFFF"/>
                                  <w:spacing w:val="-1"/>
                                  <w:w w:val="95"/>
                                </w:rPr>
                                <w:t xml:space="preserve"> </w:t>
                              </w:r>
                              <w:r>
                                <w:rPr>
                                  <w:color w:val="FFFFFF"/>
                                  <w:w w:val="95"/>
                                </w:rPr>
                                <w:t>number</w:t>
                              </w:r>
                              <w:r>
                                <w:rPr>
                                  <w:color w:val="FFFFFF"/>
                                  <w:spacing w:val="-1"/>
                                  <w:w w:val="95"/>
                                </w:rPr>
                                <w:t xml:space="preserve"> </w:t>
                              </w:r>
                              <w:r>
                                <w:rPr>
                                  <w:color w:val="FFFFFF"/>
                                  <w:w w:val="95"/>
                                </w:rPr>
                                <w:t>of</w:t>
                              </w:r>
                              <w:r>
                                <w:rPr>
                                  <w:color w:val="FFFFFF"/>
                                  <w:spacing w:val="-1"/>
                                  <w:w w:val="95"/>
                                </w:rPr>
                                <w:t xml:space="preserve"> </w:t>
                              </w:r>
                            </w:p>
                          </w:txbxContent>
                        </wps:txbx>
                        <wps:bodyPr vert="horz" lIns="0" tIns="0" rIns="0" bIns="0" rtlCol="0">
                          <a:noAutofit/>
                        </wps:bodyPr>
                      </wps:wsp>
                      <wps:wsp>
                        <wps:cNvPr id="56" name="Rectangle 56"/>
                        <wps:cNvSpPr/>
                        <wps:spPr>
                          <a:xfrm>
                            <a:off x="1805915" y="5266788"/>
                            <a:ext cx="1241468" cy="221948"/>
                          </a:xfrm>
                          <a:prstGeom prst="rect">
                            <a:avLst/>
                          </a:prstGeom>
                          <a:ln>
                            <a:noFill/>
                          </a:ln>
                        </wps:spPr>
                        <wps:txbx>
                          <w:txbxContent>
                            <w:p w14:paraId="587BB8DC" w14:textId="77777777" w:rsidR="00F21187" w:rsidRDefault="00F21187" w:rsidP="00F21187">
                              <w:r>
                                <w:rPr>
                                  <w:color w:val="FFFFFF"/>
                                  <w:w w:val="97"/>
                                </w:rPr>
                                <w:t>individual</w:t>
                              </w:r>
                              <w:r>
                                <w:rPr>
                                  <w:color w:val="FFFFFF"/>
                                  <w:spacing w:val="-1"/>
                                  <w:w w:val="97"/>
                                </w:rPr>
                                <w:t xml:space="preserve"> </w:t>
                              </w:r>
                              <w:r>
                                <w:rPr>
                                  <w:color w:val="FFFFFF"/>
                                  <w:w w:val="97"/>
                                </w:rPr>
                                <w:t>cases</w:t>
                              </w:r>
                            </w:p>
                          </w:txbxContent>
                        </wps:txbx>
                        <wps:bodyPr vert="horz" lIns="0" tIns="0" rIns="0" bIns="0" rtlCol="0">
                          <a:noAutofit/>
                        </wps:bodyPr>
                      </wps:wsp>
                      <wps:wsp>
                        <wps:cNvPr id="57" name="Shape 333"/>
                        <wps:cNvSpPr/>
                        <wps:spPr>
                          <a:xfrm>
                            <a:off x="1713579" y="0"/>
                            <a:ext cx="0" cy="5652808"/>
                          </a:xfrm>
                          <a:custGeom>
                            <a:avLst/>
                            <a:gdLst/>
                            <a:ahLst/>
                            <a:cxnLst/>
                            <a:rect l="0" t="0" r="0" b="0"/>
                            <a:pathLst>
                              <a:path h="5652808">
                                <a:moveTo>
                                  <a:pt x="0" y="5652808"/>
                                </a:moveTo>
                                <a:lnTo>
                                  <a:pt x="0" y="0"/>
                                </a:lnTo>
                              </a:path>
                            </a:pathLst>
                          </a:custGeom>
                          <a:ln w="6350" cap="rnd">
                            <a:custDash>
                              <a:ds d="1" sp="99900"/>
                            </a:custDash>
                            <a:round/>
                          </a:ln>
                        </wps:spPr>
                        <wps:style>
                          <a:lnRef idx="1">
                            <a:srgbClr val="FFFFFF"/>
                          </a:lnRef>
                          <a:fillRef idx="0">
                            <a:srgbClr val="000000">
                              <a:alpha val="0"/>
                            </a:srgbClr>
                          </a:fillRef>
                          <a:effectRef idx="0">
                            <a:scrgbClr r="0" g="0" b="0"/>
                          </a:effectRef>
                          <a:fontRef idx="none"/>
                        </wps:style>
                        <wps:bodyPr/>
                      </wps:wsp>
                      <wps:wsp>
                        <wps:cNvPr id="58" name="Shape 334"/>
                        <wps:cNvSpPr/>
                        <wps:spPr>
                          <a:xfrm>
                            <a:off x="1713579" y="5665496"/>
                            <a:ext cx="0" cy="0"/>
                          </a:xfrm>
                          <a:custGeom>
                            <a:avLst/>
                            <a:gdLst/>
                            <a:ahLst/>
                            <a:cxnLst/>
                            <a:rect l="0" t="0" r="0" b="0"/>
                            <a:pathLst>
                              <a:path>
                                <a:moveTo>
                                  <a:pt x="0" y="0"/>
                                </a:moveTo>
                                <a:lnTo>
                                  <a:pt x="0" y="0"/>
                                </a:lnTo>
                              </a:path>
                            </a:pathLst>
                          </a:custGeom>
                          <a:ln w="6350" cap="rnd">
                            <a:round/>
                          </a:ln>
                        </wps:spPr>
                        <wps:style>
                          <a:lnRef idx="1">
                            <a:srgbClr val="FFFFFF"/>
                          </a:lnRef>
                          <a:fillRef idx="0">
                            <a:srgbClr val="000000">
                              <a:alpha val="0"/>
                            </a:srgbClr>
                          </a:fillRef>
                          <a:effectRef idx="0">
                            <a:scrgbClr r="0" g="0" b="0"/>
                          </a:effectRef>
                          <a:fontRef idx="none"/>
                        </wps:style>
                        <wps:bodyPr/>
                      </wps:wsp>
                      <wps:wsp>
                        <wps:cNvPr id="59" name="Shape 336"/>
                        <wps:cNvSpPr/>
                        <wps:spPr>
                          <a:xfrm>
                            <a:off x="292448" y="96425"/>
                            <a:ext cx="0" cy="5561546"/>
                          </a:xfrm>
                          <a:custGeom>
                            <a:avLst/>
                            <a:gdLst/>
                            <a:ahLst/>
                            <a:cxnLst/>
                            <a:rect l="0" t="0" r="0" b="0"/>
                            <a:pathLst>
                              <a:path h="5561546">
                                <a:moveTo>
                                  <a:pt x="0" y="5561546"/>
                                </a:moveTo>
                                <a:lnTo>
                                  <a:pt x="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s:wsp>
                        <wps:cNvPr id="60" name="Shape 337"/>
                        <wps:cNvSpPr/>
                        <wps:spPr>
                          <a:xfrm>
                            <a:off x="242892" y="8489"/>
                            <a:ext cx="99111" cy="136169"/>
                          </a:xfrm>
                          <a:custGeom>
                            <a:avLst/>
                            <a:gdLst/>
                            <a:ahLst/>
                            <a:cxnLst/>
                            <a:rect l="0" t="0" r="0" b="0"/>
                            <a:pathLst>
                              <a:path w="99111" h="136169">
                                <a:moveTo>
                                  <a:pt x="49556" y="0"/>
                                </a:moveTo>
                                <a:lnTo>
                                  <a:pt x="99111" y="136169"/>
                                </a:lnTo>
                                <a:lnTo>
                                  <a:pt x="0" y="136169"/>
                                </a:lnTo>
                                <a:lnTo>
                                  <a:pt x="4955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8DC980" id="Group 59061" o:spid="_x0000_s1026" alt="A table depicting a hierarchy of health research studies (observational and experimental) and the strength of their conclusions. The study types are ranked as follows from lowest to highest strength of conclusions. Case reports, cross sectional survey, case control study, cohort study, quasi experiment, randomised controlled trial, systematic review and meta analysis. " style="position:absolute;margin-left:54.45pt;margin-top:18.9pt;width:402pt;height:371.65pt;z-index:251659264;mso-position-horizontal-relative:margin;mso-width-relative:margin;mso-height-relative:margin" coordsize="51776,5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">
                <v:shape id="Shape 242" o:spid="_x0000_s1027" style="position:absolute;left:45098;top:8810;width:800;height:0;visibility:visible;mso-wrap-style:square;v-text-anchor:top" coordsize="7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" path="m,l79946,e" filled="f" strokeweight="1.25pt">
                  <v:stroke endcap="round"/>
                  <v:path arrowok="t" textboxrect="0,0,79946,0"/>
                </v:shape>
                <v:shape id="Shape 243" o:spid="_x0000_s1028" style="position:absolute;left:46058;top:9129;width:0;height:14492;visibility:visible;mso-wrap-style:square;v-text-anchor:top" coordsize="0,14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" path="m,l,1449235e" filled="f" strokeweight="1.25pt">
                  <v:stroke endcap="round"/>
                  <v:path arrowok="t" textboxrect="0,0,0,1449235"/>
                </v:shape>
                <v:shape id="Shape 244" o:spid="_x0000_s1029" style="position:absolute;left:44939;top:23780;width:799;height:0;visibility:visible;mso-wrap-style:square;v-text-anchor:top" coordsize="7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" path="m79946,l,e" filled="f" strokeweight="1.25pt">
                  <v:stroke endcap="round"/>
                  <v:path arrowok="t" textboxrect="0,0,79946,0"/>
                </v:shape>
                <v:shape id="Shape 245" o:spid="_x0000_s1030" style="position:absolute;left:44779;top:88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" path="m,l,e" filled="f" strokeweight="1.25pt">
                  <v:stroke endcap="round"/>
                  <v:path arrowok="t" textboxrect="0,0,0,0"/>
                </v:shape>
                <v:shape id="Shape 246" o:spid="_x0000_s1031" style="position:absolute;left:46058;top:88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" path="m,l,e" filled="f" strokeweight="1.25pt">
                  <v:stroke endcap="round"/>
                  <v:path arrowok="t" textboxrect="0,0,0,0"/>
                </v:shape>
                <v:shape id="Shape 247" o:spid="_x0000_s1032" style="position:absolute;left:46058;top:237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" path="m,l,e" filled="f" strokeweight="1.25pt">
                  <v:stroke endcap="round"/>
                  <v:path arrowok="t" textboxrect="0,0,0,0"/>
                </v:shape>
                <v:shape id="Shape 248" o:spid="_x0000_s1033" style="position:absolute;left:44779;top:237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" path="m,l,e" filled="f" strokeweight="1.25pt">
                  <v:stroke endcap="round"/>
                  <v:path arrowok="t" textboxrect="0,0,0,0"/>
                </v:shape>
                <v:shape id="Shape 249" o:spid="_x0000_s1034" style="position:absolute;left:45098;top:25004;width:800;height:0;visibility:visible;mso-wrap-style:square;v-text-anchor:top" coordsize="7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" path="m,l79946,e" filled="f" strokeweight="1.25pt">
                  <v:stroke endcap="round"/>
                  <v:path arrowok="t" textboxrect="0,0,79946,0"/>
                </v:shape>
                <v:shape id="Shape 250" o:spid="_x0000_s1035" style="position:absolute;left:46058;top:25321;width:0;height:30599;visibility:visible;mso-wrap-style:square;v-text-anchor:top" coordsize="0,305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" path="m,l,3059875e" filled="f" strokeweight="1.25pt">
                  <v:stroke endcap="round"/>
                  <v:path arrowok="t" textboxrect="0,0,0,3059875"/>
                </v:shape>
                <v:shape id="Shape 251" o:spid="_x0000_s1036" style="position:absolute;left:44939;top:56078;width:799;height:0;visibility:visible;mso-wrap-style:square;v-text-anchor:top" coordsize="79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" path="m79946,l,e" filled="f" strokeweight="1.25pt">
                  <v:stroke endcap="round"/>
                  <v:path arrowok="t" textboxrect="0,0,79946,0"/>
                </v:shape>
                <v:shape id="Shape 252" o:spid="_x0000_s1037" style="position:absolute;left:44779;top:250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" path="m,l,e" filled="f" strokeweight="1.25pt">
                  <v:stroke endcap="round"/>
                  <v:path arrowok="t" textboxrect="0,0,0,0"/>
                </v:shape>
                <v:shape id="Shape 253" o:spid="_x0000_s1038" style="position:absolute;left:46058;top:250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" path="m,l,e" filled="f" strokeweight="1.25pt">
                  <v:stroke endcap="round"/>
                  <v:path arrowok="t" textboxrect="0,0,0,0"/>
                </v:shape>
                <v:shape id="Shape 254" o:spid="_x0000_s1039" style="position:absolute;left:46058;top:5607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" path="m,l,e" filled="f" strokeweight="1.25pt">
                  <v:stroke endcap="round"/>
                  <v:path arrowok="t" textboxrect="0,0,0,0"/>
                </v:shape>
                <v:shape id="Shape 255" o:spid="_x0000_s1040" style="position:absolute;left:44779;top:5607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" path="m,l,e" filled="f" strokeweight="1.25pt">
                  <v:stroke endcap="round"/>
                  <v:path arrowok="t" textboxrect="0,0,0,0"/>
                </v:shape>
                <v:rect id="Rectangle 16" o:spid="_x0000_s1041" style="position:absolute;left:41686;top:13454;width:12315;height:2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14:paraId="177825B2" w14:textId="77777777" w:rsidR="00F21187" w:rsidRDefault="00F21187" w:rsidP="00F21187">
                        <w:bookmarkStart w:id="6" w:name="_Hlk77935178"/>
                        <w:bookmarkEnd w:id="6"/>
                        <w:r>
                          <w:rPr>
                            <w:rFonts w:ascii="Calibri" w:eastAsia="Calibri" w:hAnsi="Calibri" w:cs="Calibri"/>
                            <w:b/>
                            <w:sz w:val="28"/>
                          </w:rPr>
                          <w:t>Experimental</w:t>
                        </w:r>
                      </w:p>
                    </w:txbxContent>
                  </v:textbox>
                </v:rect>
                <v:rect id="Rectangle 17" o:spid="_x0000_s1042" style="position:absolute;left:-9771;top:24267;width:22170;height:2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14:paraId="0B3DAFA7" w14:textId="77777777" w:rsidR="00F21187" w:rsidRDefault="00F21187" w:rsidP="00F21187">
                        <w:r>
                          <w:rPr>
                            <w:rFonts w:ascii="Calibri" w:eastAsia="Calibri" w:hAnsi="Calibri" w:cs="Calibri"/>
                            <w:b/>
                            <w:sz w:val="28"/>
                          </w:rPr>
                          <w:t>Strength</w:t>
                        </w:r>
                        <w:r>
                          <w:rPr>
                            <w:rFonts w:ascii="Calibri" w:eastAsia="Calibri" w:hAnsi="Calibri" w:cs="Calibri"/>
                            <w:b/>
                            <w:spacing w:val="-374"/>
                            <w:sz w:val="28"/>
                          </w:rPr>
                          <w:t xml:space="preserve"> </w:t>
                        </w:r>
                        <w:r>
                          <w:rPr>
                            <w:rFonts w:ascii="Calibri" w:eastAsia="Calibri" w:hAnsi="Calibri" w:cs="Calibri"/>
                            <w:b/>
                            <w:sz w:val="28"/>
                          </w:rPr>
                          <w:t>of</w:t>
                        </w:r>
                        <w:r>
                          <w:rPr>
                            <w:rFonts w:ascii="Calibri" w:eastAsia="Calibri" w:hAnsi="Calibri" w:cs="Calibri"/>
                            <w:b/>
                            <w:spacing w:val="-374"/>
                            <w:sz w:val="28"/>
                          </w:rPr>
                          <w:t xml:space="preserve"> </w:t>
                        </w:r>
                        <w:r>
                          <w:rPr>
                            <w:rFonts w:ascii="Calibri" w:eastAsia="Calibri" w:hAnsi="Calibri" w:cs="Calibri"/>
                            <w:b/>
                            <w:sz w:val="28"/>
                          </w:rPr>
                          <w:t>conclusions</w:t>
                        </w:r>
                      </w:p>
                    </w:txbxContent>
                  </v:textbox>
                </v:rect>
                <v:rect id="Rectangle 18" o:spid="_x0000_s1043" style="position:absolute;left:41320;top:37607;width:13048;height:2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14:paraId="7F4C5E63" w14:textId="77777777" w:rsidR="00F21187" w:rsidRDefault="00F21187" w:rsidP="00F21187">
                        <w:r>
                          <w:rPr>
                            <w:rFonts w:ascii="Calibri" w:eastAsia="Calibri" w:hAnsi="Calibri" w:cs="Calibri"/>
                            <w:b/>
                            <w:sz w:val="28"/>
                          </w:rPr>
                          <w:t>Observational</w:t>
                        </w:r>
                      </w:p>
                    </w:txbxContent>
                  </v:textbox>
                </v:rect>
                <v:shape id="Shape 77653" o:spid="_x0000_s1044" style="position:absolute;left:4252;top:129;width:40365;height:8109;visibility:visible;mso-wrap-style:square;v-text-anchor:top" coordsize="4036493,81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" path="m,l4036493,r,810857l,810857,,e" fillcolor="#12a537" stroked="f" strokeweight="0">
                  <v:stroke endcap="round"/>
                  <v:path arrowok="t" textboxrect="0,0,4036493,810857"/>
                </v:shape>
                <v:shape id="Shape 260" o:spid="_x0000_s1045" style="position:absolute;left:4252;top:7003;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" path="m649503,l769620,120777r3266872,l4036492,931227,,931227,,120777r529400,l649503,xe" fillcolor="#3bab43" stroked="f" strokeweight="0">
                  <v:stroke endcap="round"/>
                  <v:path arrowok="t" textboxrect="0,0,4036492,931227"/>
                </v:shape>
                <v:shape id="Shape 261" o:spid="_x0000_s1046" style="position:absolute;left:4252;top:7003;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" path="m4036492,120777r-3266872,l649503,,529400,120777,,120777,,931227r4036492,l4036492,120777xe" filled="f" strokecolor="white" strokeweight="1.3pt">
                  <v:stroke endcap="round"/>
                  <v:path arrowok="t" textboxrect="0,0,4036492,931227"/>
                </v:shape>
                <v:shape id="Shape 262" o:spid="_x0000_s1047" style="position:absolute;left:4252;top:15080;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" path="m649503,l769620,120777r3266872,l4036492,931227,,931227,,120777r529400,l649503,xe" fillcolor="#53b04e" stroked="f" strokeweight="0">
                  <v:stroke endcap="round"/>
                  <v:path arrowok="t" textboxrect="0,0,4036492,931227"/>
                </v:shape>
                <v:shape id="Shape 263" o:spid="_x0000_s1048" style="position:absolute;left:4252;top:15080;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" path="m4036492,120777r-3266872,l649503,,529400,120777,,120777,,931227r4036492,l4036492,120777xe" filled="f" strokecolor="white" strokeweight="1.3pt">
                  <v:stroke endcap="round"/>
                  <v:path arrowok="t" textboxrect="0,0,4036492,931227"/>
                </v:shape>
                <v:shape id="Shape 264" o:spid="_x0000_s1049" style="position:absolute;left:4252;top:23157;width:40365;height:9313;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" path="m649503,l769620,120777r3266872,l4036492,931228,,931228,,120777r529400,l649503,xe" fillcolor="#68b65b" stroked="f" strokeweight="0">
                  <v:stroke endcap="round"/>
                  <v:path arrowok="t" textboxrect="0,0,4036492,931228"/>
                </v:shape>
                <v:shape id="Shape 265" o:spid="_x0000_s1050" style="position:absolute;left:4252;top:23157;width:40365;height:9313;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" path="m4036492,120777r-3266872,l649503,,529400,120777,,120777,,931228r4036492,l4036492,120777xe" filled="f" strokecolor="white" strokeweight="1.3pt">
                  <v:stroke endcap="round"/>
                  <v:path arrowok="t" textboxrect="0,0,4036492,931228"/>
                </v:shape>
                <v:shape id="Shape 266" o:spid="_x0000_s1051" style="position:absolute;left:4252;top:31235;width:40365;height:9312;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" path="m649503,l769620,120777r3266872,l4036492,931228,,931228,,120777r529400,l649503,xe" fillcolor="#7abc6a" stroked="f" strokeweight="0">
                  <v:stroke endcap="round"/>
                  <v:path arrowok="t" textboxrect="0,0,4036492,931228"/>
                </v:shape>
                <v:shape id="Shape 267" o:spid="_x0000_s1052" style="position:absolute;left:4252;top:31235;width:40365;height:9312;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" path="m4036492,120777r-3266872,l649503,,529400,120777,,120777,,931228r4036492,l4036492,120777xe" filled="f" strokecolor="white" strokeweight="1.3pt">
                  <v:stroke endcap="round"/>
                  <v:path arrowok="t" textboxrect="0,0,4036492,931228"/>
                </v:shape>
                <v:shape id="Shape 268" o:spid="_x0000_s1053" style="position:absolute;left:4252;top:39312;width:40365;height:9312;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" path="m649503,l769620,120777r3266872,l4036492,931228,,931228,,120777r529400,l649503,xe" fillcolor="#8bc379" stroked="f" strokeweight="0">
                  <v:stroke endcap="round"/>
                  <v:path arrowok="t" textboxrect="0,0,4036492,931228"/>
                </v:shape>
                <v:shape id="Shape 269" o:spid="_x0000_s1054" style="position:absolute;left:4252;top:39312;width:40365;height:9312;visibility:visible;mso-wrap-style:square;v-text-anchor:top" coordsize="4036492,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" path="m4036492,120777r-3266872,l649503,,529400,120777,,120777,,931228r4036492,l4036492,120777xe" filled="f" strokecolor="white" strokeweight="1.3pt">
                  <v:stroke endcap="round"/>
                  <v:path arrowok="t" textboxrect="0,0,4036492,931228"/>
                </v:shape>
                <v:shape id="Shape 270" o:spid="_x0000_s1055" style="position:absolute;left:4252;top:47390;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" path="m649516,l769620,120777r3266872,l4036492,931227,,931227,,120777r529400,l649516,xe" fillcolor="#9ac988" stroked="f" strokeweight="0">
                  <v:stroke endcap="round"/>
                  <v:path arrowok="t" textboxrect="0,0,4036492,931227"/>
                </v:shape>
                <v:shape id="Shape 271" o:spid="_x0000_s1056" style="position:absolute;left:4252;top:47390;width:40365;height:9312;visibility:visible;mso-wrap-style:square;v-text-anchor:top" coordsize="4036492,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" path="m4036492,120777r-3266872,l649516,,529400,120777,,120777,,931227r4036492,l4036492,120777xe" filled="f" strokecolor="white" strokeweight="1.3pt">
                  <v:stroke endcap="round"/>
                  <v:path arrowok="t" textboxrect="0,0,4036492,931227"/>
                </v:shape>
                <v:rect id="Rectangle 32" o:spid="_x0000_s1057" style="position:absolute;left:5120;top:2346;width:1576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B86986D" w14:textId="77777777" w:rsidR="00F21187" w:rsidRDefault="00F21187" w:rsidP="00F21187">
                        <w:r>
                          <w:rPr>
                            <w:rFonts w:ascii="Calibri" w:eastAsia="Calibri" w:hAnsi="Calibri" w:cs="Calibri"/>
                            <w:b/>
                            <w:color w:val="FFFFFF"/>
                            <w:w w:val="101"/>
                          </w:rPr>
                          <w:t>Systematic</w:t>
                        </w:r>
                        <w:r>
                          <w:rPr>
                            <w:rFonts w:ascii="Calibri" w:eastAsia="Calibri" w:hAnsi="Calibri" w:cs="Calibri"/>
                            <w:b/>
                            <w:color w:val="FFFFFF"/>
                            <w:spacing w:val="-3"/>
                            <w:w w:val="101"/>
                          </w:rPr>
                          <w:t xml:space="preserve"> </w:t>
                        </w:r>
                        <w:r>
                          <w:rPr>
                            <w:rFonts w:ascii="Calibri" w:eastAsia="Calibri" w:hAnsi="Calibri" w:cs="Calibri"/>
                            <w:b/>
                            <w:color w:val="FFFFFF"/>
                            <w:w w:val="101"/>
                          </w:rPr>
                          <w:t>review</w:t>
                        </w:r>
                        <w:r>
                          <w:rPr>
                            <w:rFonts w:ascii="Calibri" w:eastAsia="Calibri" w:hAnsi="Calibri" w:cs="Calibri"/>
                            <w:b/>
                            <w:color w:val="FFFFFF"/>
                            <w:spacing w:val="-3"/>
                            <w:w w:val="101"/>
                          </w:rPr>
                          <w:t xml:space="preserve">  </w:t>
                        </w:r>
                      </w:p>
                    </w:txbxContent>
                  </v:textbox>
                </v:rect>
                <v:rect id="Rectangle 33" o:spid="_x0000_s1058" style="position:absolute;left:5842;top:4187;width:1299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50E3C24" w14:textId="77777777" w:rsidR="00F21187" w:rsidRDefault="00F21187" w:rsidP="00F21187">
                        <w:r>
                          <w:rPr>
                            <w:rFonts w:ascii="Calibri" w:eastAsia="Calibri" w:hAnsi="Calibri" w:cs="Calibri"/>
                            <w:b/>
                            <w:color w:val="FFFFFF"/>
                          </w:rPr>
                          <w:t>&amp;</w:t>
                        </w:r>
                        <w:r>
                          <w:rPr>
                            <w:rFonts w:ascii="Calibri" w:eastAsia="Calibri" w:hAnsi="Calibri" w:cs="Calibri"/>
                            <w:b/>
                            <w:color w:val="FFFFFF"/>
                            <w:spacing w:val="-3"/>
                          </w:rPr>
                          <w:t xml:space="preserve"> </w:t>
                        </w:r>
                        <w:r>
                          <w:rPr>
                            <w:rFonts w:ascii="Calibri" w:eastAsia="Calibri" w:hAnsi="Calibri" w:cs="Calibri"/>
                            <w:b/>
                            <w:color w:val="FFFFFF"/>
                          </w:rPr>
                          <w:t>meta-analysis</w:t>
                        </w:r>
                      </w:p>
                    </w:txbxContent>
                  </v:textbox>
                </v:rect>
                <v:rect id="Rectangle 34" o:spid="_x0000_s1059" style="position:absolute;left:6702;top:10424;width:10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F2288BB" w14:textId="77777777" w:rsidR="00F21187" w:rsidRDefault="00F21187" w:rsidP="00F21187">
                        <w:r>
                          <w:rPr>
                            <w:rFonts w:ascii="Calibri" w:eastAsia="Calibri" w:hAnsi="Calibri" w:cs="Calibri"/>
                            <w:b/>
                            <w:color w:val="FFFFFF"/>
                            <w:w w:val="98"/>
                          </w:rPr>
                          <w:t>Randomised-</w:t>
                        </w:r>
                      </w:p>
                    </w:txbxContent>
                  </v:textbox>
                </v:rect>
                <v:rect id="Rectangle 35" o:spid="_x0000_s1060" style="position:absolute;left:6211;top:12265;width:1200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3F29978" w14:textId="77777777" w:rsidR="00F21187" w:rsidRDefault="00F21187" w:rsidP="00F21187">
                        <w:r>
                          <w:rPr>
                            <w:rFonts w:ascii="Calibri" w:eastAsia="Calibri" w:hAnsi="Calibri" w:cs="Calibri"/>
                            <w:b/>
                            <w:color w:val="FFFFFF"/>
                          </w:rPr>
                          <w:t>controlled</w:t>
                        </w:r>
                        <w:r>
                          <w:rPr>
                            <w:rFonts w:ascii="Calibri" w:eastAsia="Calibri" w:hAnsi="Calibri" w:cs="Calibri"/>
                            <w:b/>
                            <w:color w:val="FFFFFF"/>
                            <w:spacing w:val="-3"/>
                          </w:rPr>
                          <w:t xml:space="preserve"> </w:t>
                        </w:r>
                        <w:r>
                          <w:rPr>
                            <w:rFonts w:ascii="Calibri" w:eastAsia="Calibri" w:hAnsi="Calibri" w:cs="Calibri"/>
                            <w:b/>
                            <w:color w:val="FFFFFF"/>
                          </w:rPr>
                          <w:t>trial</w:t>
                        </w:r>
                      </w:p>
                    </w:txbxContent>
                  </v:textbox>
                </v:rect>
                <v:rect id="Rectangle 36" o:spid="_x0000_s1061" style="position:absolute;left:5254;top:19421;width:14553;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6C7FA31" w14:textId="77777777" w:rsidR="00F21187" w:rsidRDefault="00F21187" w:rsidP="00F21187">
                        <w:r>
                          <w:rPr>
                            <w:rFonts w:ascii="Calibri" w:eastAsia="Calibri" w:hAnsi="Calibri" w:cs="Calibri"/>
                            <w:b/>
                            <w:color w:val="FFFFFF"/>
                            <w:w w:val="99"/>
                          </w:rPr>
                          <w:t>Quasi-experiment</w:t>
                        </w:r>
                      </w:p>
                    </w:txbxContent>
                  </v:textbox>
                </v:rect>
                <v:rect id="Rectangle 37" o:spid="_x0000_s1062" style="position:absolute;left:6699;top:27499;width:1071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CB8635E" w14:textId="77777777" w:rsidR="00F21187" w:rsidRDefault="00F21187" w:rsidP="00F21187">
                        <w:r>
                          <w:rPr>
                            <w:rFonts w:ascii="Calibri" w:eastAsia="Calibri" w:hAnsi="Calibri" w:cs="Calibri"/>
                            <w:b/>
                            <w:color w:val="FFFFFF"/>
                            <w:w w:val="102"/>
                          </w:rPr>
                          <w:t>Cohort</w:t>
                        </w:r>
                        <w:r>
                          <w:rPr>
                            <w:rFonts w:ascii="Calibri" w:eastAsia="Calibri" w:hAnsi="Calibri" w:cs="Calibri"/>
                            <w:b/>
                            <w:color w:val="FFFFFF"/>
                            <w:spacing w:val="-3"/>
                            <w:w w:val="102"/>
                          </w:rPr>
                          <w:t xml:space="preserve"> </w:t>
                        </w:r>
                        <w:r>
                          <w:rPr>
                            <w:rFonts w:ascii="Calibri" w:eastAsia="Calibri" w:hAnsi="Calibri" w:cs="Calibri"/>
                            <w:b/>
                            <w:color w:val="FFFFFF"/>
                            <w:w w:val="102"/>
                          </w:rPr>
                          <w:t>study</w:t>
                        </w:r>
                      </w:p>
                    </w:txbxContent>
                  </v:textbox>
                </v:rect>
                <v:rect id="Rectangle 38" o:spid="_x0000_s1063" style="position:absolute;left:6778;top:34655;width:1135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7FA32A6" w14:textId="77777777" w:rsidR="00F21187" w:rsidRDefault="00F21187" w:rsidP="00F21187">
                        <w:r>
                          <w:rPr>
                            <w:rFonts w:ascii="Calibri" w:eastAsia="Calibri" w:hAnsi="Calibri" w:cs="Calibri"/>
                            <w:b/>
                            <w:color w:val="FFFFFF"/>
                            <w:w w:val="101"/>
                          </w:rPr>
                          <w:t>Case-control</w:t>
                        </w:r>
                        <w:r>
                          <w:rPr>
                            <w:rFonts w:ascii="Calibri" w:eastAsia="Calibri" w:hAnsi="Calibri" w:cs="Calibri"/>
                            <w:b/>
                            <w:color w:val="FFFFFF"/>
                            <w:spacing w:val="-3"/>
                            <w:w w:val="101"/>
                          </w:rPr>
                          <w:t xml:space="preserve">  </w:t>
                        </w:r>
                      </w:p>
                    </w:txbxContent>
                  </v:textbox>
                </v:rect>
                <v:rect id="Rectangle 39" o:spid="_x0000_s1064" style="position:absolute;left:8980;top:36496;width:4642;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DA963FB" w14:textId="77777777" w:rsidR="00F21187" w:rsidRDefault="00F21187" w:rsidP="00F21187">
                        <w:r>
                          <w:rPr>
                            <w:rFonts w:ascii="Calibri" w:eastAsia="Calibri" w:hAnsi="Calibri" w:cs="Calibri"/>
                            <w:b/>
                            <w:color w:val="FFFFFF"/>
                            <w:w w:val="104"/>
                          </w:rPr>
                          <w:t>study</w:t>
                        </w:r>
                      </w:p>
                    </w:txbxContent>
                  </v:textbox>
                </v:rect>
                <v:rect id="Rectangle 40" o:spid="_x0000_s1065" style="position:absolute;left:5947;top:42732;width:1313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C3FEF16" w14:textId="77777777" w:rsidR="00F21187" w:rsidRDefault="00F21187" w:rsidP="00F21187">
                        <w:r>
                          <w:rPr>
                            <w:rFonts w:ascii="Calibri" w:eastAsia="Calibri" w:hAnsi="Calibri" w:cs="Calibri"/>
                            <w:b/>
                            <w:color w:val="FFFFFF"/>
                            <w:w w:val="103"/>
                          </w:rPr>
                          <w:t>Cross-sectional</w:t>
                        </w:r>
                        <w:r>
                          <w:rPr>
                            <w:rFonts w:ascii="Calibri" w:eastAsia="Calibri" w:hAnsi="Calibri" w:cs="Calibri"/>
                            <w:b/>
                            <w:color w:val="FFFFFF"/>
                            <w:spacing w:val="-3"/>
                            <w:w w:val="103"/>
                          </w:rPr>
                          <w:t xml:space="preserve"> </w:t>
                        </w:r>
                      </w:p>
                    </w:txbxContent>
                  </v:textbox>
                </v:rect>
                <v:rect id="Rectangle 41" o:spid="_x0000_s1066" style="position:absolute;left:8665;top:44573;width:548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B9A8D9B" w14:textId="77777777" w:rsidR="00F21187" w:rsidRDefault="00F21187" w:rsidP="00F21187">
                        <w:r>
                          <w:rPr>
                            <w:rFonts w:ascii="Calibri" w:eastAsia="Calibri" w:hAnsi="Calibri" w:cs="Calibri"/>
                            <w:b/>
                            <w:color w:val="FFFFFF"/>
                            <w:w w:val="102"/>
                          </w:rPr>
                          <w:t>survey</w:t>
                        </w:r>
                      </w:p>
                    </w:txbxContent>
                  </v:textbox>
                </v:rect>
                <v:rect id="Rectangle 42" o:spid="_x0000_s1067" style="position:absolute;left:6812;top:51730;width:10410;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CE20D9A" w14:textId="77777777" w:rsidR="00F21187" w:rsidRDefault="00F21187" w:rsidP="00F21187">
                        <w:r>
                          <w:rPr>
                            <w:rFonts w:ascii="Calibri" w:eastAsia="Calibri" w:hAnsi="Calibri" w:cs="Calibri"/>
                            <w:b/>
                            <w:color w:val="FFFFFF"/>
                            <w:w w:val="101"/>
                          </w:rPr>
                          <w:t>Case</w:t>
                        </w:r>
                        <w:r>
                          <w:rPr>
                            <w:rFonts w:ascii="Calibri" w:eastAsia="Calibri" w:hAnsi="Calibri" w:cs="Calibri"/>
                            <w:b/>
                            <w:color w:val="FFFFFF"/>
                            <w:spacing w:val="-3"/>
                            <w:w w:val="101"/>
                          </w:rPr>
                          <w:t xml:space="preserve"> </w:t>
                        </w:r>
                        <w:r>
                          <w:rPr>
                            <w:rFonts w:ascii="Calibri" w:eastAsia="Calibri" w:hAnsi="Calibri" w:cs="Calibri"/>
                            <w:b/>
                            <w:color w:val="FFFFFF"/>
                            <w:w w:val="101"/>
                          </w:rPr>
                          <w:t>reports</w:t>
                        </w:r>
                      </w:p>
                    </w:txbxContent>
                  </v:textbox>
                </v:rect>
                <v:rect id="Rectangle 43" o:spid="_x0000_s1068" style="position:absolute;left:18059;top:2363;width:32509;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42174A9" w14:textId="77777777" w:rsidR="00F21187" w:rsidRDefault="00F21187" w:rsidP="00F21187">
                        <w:r>
                          <w:rPr>
                            <w:color w:val="FFFFFF"/>
                            <w:w w:val="96"/>
                          </w:rPr>
                          <w:t>Collects</w:t>
                        </w:r>
                        <w:r>
                          <w:rPr>
                            <w:color w:val="FFFFFF"/>
                            <w:spacing w:val="-1"/>
                            <w:w w:val="96"/>
                          </w:rPr>
                          <w:t xml:space="preserve"> </w:t>
                        </w:r>
                        <w:r>
                          <w:rPr>
                            <w:color w:val="FFFFFF"/>
                            <w:w w:val="96"/>
                          </w:rPr>
                          <w:t>all</w:t>
                        </w:r>
                        <w:r>
                          <w:rPr>
                            <w:color w:val="FFFFFF"/>
                            <w:spacing w:val="-1"/>
                            <w:w w:val="96"/>
                          </w:rPr>
                          <w:t xml:space="preserve"> </w:t>
                        </w:r>
                        <w:r>
                          <w:rPr>
                            <w:color w:val="FFFFFF"/>
                            <w:w w:val="96"/>
                          </w:rPr>
                          <w:t>previous</w:t>
                        </w:r>
                        <w:r>
                          <w:rPr>
                            <w:color w:val="FFFFFF"/>
                            <w:spacing w:val="-1"/>
                            <w:w w:val="96"/>
                          </w:rPr>
                          <w:t xml:space="preserve"> </w:t>
                        </w:r>
                        <w:r>
                          <w:rPr>
                            <w:color w:val="FFFFFF"/>
                            <w:w w:val="96"/>
                          </w:rPr>
                          <w:t>studies</w:t>
                        </w:r>
                        <w:r>
                          <w:rPr>
                            <w:color w:val="FFFFFF"/>
                            <w:spacing w:val="-1"/>
                            <w:w w:val="96"/>
                          </w:rPr>
                          <w:t xml:space="preserve"> </w:t>
                        </w:r>
                        <w:r>
                          <w:rPr>
                            <w:color w:val="FFFFFF"/>
                            <w:w w:val="96"/>
                          </w:rPr>
                          <w:t>on</w:t>
                        </w:r>
                        <w:r>
                          <w:rPr>
                            <w:color w:val="FFFFFF"/>
                            <w:spacing w:val="-1"/>
                            <w:w w:val="96"/>
                          </w:rPr>
                          <w:t xml:space="preserve"> </w:t>
                        </w:r>
                        <w:r>
                          <w:rPr>
                            <w:color w:val="FFFFFF"/>
                            <w:w w:val="96"/>
                          </w:rPr>
                          <w:t>the</w:t>
                        </w:r>
                        <w:r>
                          <w:rPr>
                            <w:color w:val="FFFFFF"/>
                            <w:spacing w:val="-1"/>
                            <w:w w:val="96"/>
                          </w:rPr>
                          <w:t xml:space="preserve"> </w:t>
                        </w:r>
                        <w:r>
                          <w:rPr>
                            <w:color w:val="FFFFFF"/>
                            <w:w w:val="96"/>
                          </w:rPr>
                          <w:t>topic</w:t>
                        </w:r>
                        <w:r>
                          <w:rPr>
                            <w:color w:val="FFFFFF"/>
                            <w:spacing w:val="-1"/>
                            <w:w w:val="96"/>
                          </w:rPr>
                          <w:t xml:space="preserve">  </w:t>
                        </w:r>
                      </w:p>
                    </w:txbxContent>
                  </v:textbox>
                </v:rect>
                <v:rect id="Rectangle 44" o:spid="_x0000_s1069" style="position:absolute;left:18059;top:4204;width:30081;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FFA576C" w14:textId="77777777" w:rsidR="00F21187" w:rsidRDefault="00F21187" w:rsidP="00F21187">
                        <w:r>
                          <w:rPr>
                            <w:color w:val="FFFFFF"/>
                            <w:w w:val="96"/>
                          </w:rPr>
                          <w:t>and</w:t>
                        </w:r>
                        <w:r>
                          <w:rPr>
                            <w:color w:val="FFFFFF"/>
                            <w:spacing w:val="-1"/>
                            <w:w w:val="96"/>
                          </w:rPr>
                          <w:t xml:space="preserve"> </w:t>
                        </w:r>
                        <w:r>
                          <w:rPr>
                            <w:color w:val="FFFFFF"/>
                            <w:w w:val="96"/>
                          </w:rPr>
                          <w:t>statistically</w:t>
                        </w:r>
                        <w:r>
                          <w:rPr>
                            <w:color w:val="FFFFFF"/>
                            <w:spacing w:val="-1"/>
                            <w:w w:val="96"/>
                          </w:rPr>
                          <w:t xml:space="preserve"> </w:t>
                        </w:r>
                        <w:r>
                          <w:rPr>
                            <w:color w:val="FFFFFF"/>
                            <w:w w:val="96"/>
                          </w:rPr>
                          <w:t>combines</w:t>
                        </w:r>
                        <w:r>
                          <w:rPr>
                            <w:color w:val="FFFFFF"/>
                            <w:spacing w:val="-1"/>
                            <w:w w:val="96"/>
                          </w:rPr>
                          <w:t xml:space="preserve"> </w:t>
                        </w:r>
                        <w:r>
                          <w:rPr>
                            <w:color w:val="FFFFFF"/>
                            <w:w w:val="96"/>
                          </w:rPr>
                          <w:t>their</w:t>
                        </w:r>
                        <w:r>
                          <w:rPr>
                            <w:color w:val="FFFFFF"/>
                            <w:spacing w:val="-1"/>
                            <w:w w:val="96"/>
                          </w:rPr>
                          <w:t xml:space="preserve"> </w:t>
                        </w:r>
                        <w:r>
                          <w:rPr>
                            <w:color w:val="FFFFFF"/>
                            <w:w w:val="96"/>
                          </w:rPr>
                          <w:t>results</w:t>
                        </w:r>
                      </w:p>
                    </w:txbxContent>
                  </v:textbox>
                </v:rect>
                <v:rect id="Rectangle 45" o:spid="_x0000_s1070" style="position:absolute;left:18059;top:10440;width:2996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F55C99F" w14:textId="77777777" w:rsidR="00F21187" w:rsidRDefault="00F21187" w:rsidP="00F21187">
                        <w:r>
                          <w:rPr>
                            <w:color w:val="FFFFFF"/>
                            <w:w w:val="95"/>
                          </w:rPr>
                          <w:t>Randomly</w:t>
                        </w:r>
                        <w:r>
                          <w:rPr>
                            <w:color w:val="FFFFFF"/>
                            <w:spacing w:val="-1"/>
                            <w:w w:val="95"/>
                          </w:rPr>
                          <w:t xml:space="preserve"> </w:t>
                        </w:r>
                        <w:r>
                          <w:rPr>
                            <w:color w:val="FFFFFF"/>
                            <w:w w:val="95"/>
                          </w:rPr>
                          <w:t>allocates</w:t>
                        </w:r>
                        <w:r>
                          <w:rPr>
                            <w:color w:val="FFFFFF"/>
                            <w:spacing w:val="-1"/>
                            <w:w w:val="95"/>
                          </w:rPr>
                          <w:t xml:space="preserve"> </w:t>
                        </w:r>
                        <w:r>
                          <w:rPr>
                            <w:color w:val="FFFFFF"/>
                            <w:w w:val="95"/>
                          </w:rPr>
                          <w:t>people</w:t>
                        </w:r>
                        <w:r>
                          <w:rPr>
                            <w:color w:val="FFFFFF"/>
                            <w:spacing w:val="-1"/>
                            <w:w w:val="95"/>
                          </w:rPr>
                          <w:t xml:space="preserve"> </w:t>
                        </w:r>
                        <w:r>
                          <w:rPr>
                            <w:color w:val="FFFFFF"/>
                            <w:w w:val="95"/>
                          </w:rPr>
                          <w:t>to</w:t>
                        </w:r>
                        <w:r>
                          <w:rPr>
                            <w:color w:val="FFFFFF"/>
                            <w:spacing w:val="-1"/>
                            <w:w w:val="95"/>
                          </w:rPr>
                          <w:t xml:space="preserve"> </w:t>
                        </w:r>
                        <w:r>
                          <w:rPr>
                            <w:color w:val="FFFFFF"/>
                            <w:w w:val="95"/>
                          </w:rPr>
                          <w:t>receive</w:t>
                        </w:r>
                        <w:r>
                          <w:rPr>
                            <w:color w:val="FFFFFF"/>
                            <w:spacing w:val="-1"/>
                            <w:w w:val="95"/>
                          </w:rPr>
                          <w:t xml:space="preserve">  </w:t>
                        </w:r>
                      </w:p>
                    </w:txbxContent>
                  </v:textbox>
                </v:rect>
                <v:rect id="Rectangle 46" o:spid="_x0000_s1071" style="position:absolute;left:18059;top:12281;width:27501;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65F24FF" w14:textId="77777777" w:rsidR="00F21187" w:rsidRDefault="00F21187" w:rsidP="00F21187">
                        <w:r>
                          <w:rPr>
                            <w:color w:val="FFFFFF"/>
                            <w:w w:val="95"/>
                          </w:rPr>
                          <w:t>one</w:t>
                        </w:r>
                        <w:r>
                          <w:rPr>
                            <w:color w:val="FFFFFF"/>
                            <w:spacing w:val="-1"/>
                            <w:w w:val="95"/>
                          </w:rPr>
                          <w:t xml:space="preserve"> </w:t>
                        </w:r>
                        <w:r>
                          <w:rPr>
                            <w:color w:val="FFFFFF"/>
                            <w:w w:val="95"/>
                          </w:rPr>
                          <w:t>of</w:t>
                        </w:r>
                        <w:r>
                          <w:rPr>
                            <w:color w:val="FFFFFF"/>
                            <w:spacing w:val="-1"/>
                            <w:w w:val="95"/>
                          </w:rPr>
                          <w:t xml:space="preserve"> </w:t>
                        </w:r>
                        <w:r>
                          <w:rPr>
                            <w:color w:val="FFFFFF"/>
                            <w:w w:val="95"/>
                          </w:rPr>
                          <w:t>several</w:t>
                        </w:r>
                        <w:r>
                          <w:rPr>
                            <w:color w:val="FFFFFF"/>
                            <w:spacing w:val="-1"/>
                            <w:w w:val="95"/>
                          </w:rPr>
                          <w:t xml:space="preserve"> </w:t>
                        </w:r>
                        <w:r>
                          <w:rPr>
                            <w:color w:val="FFFFFF"/>
                            <w:w w:val="95"/>
                          </w:rPr>
                          <w:t>clinical</w:t>
                        </w:r>
                        <w:r>
                          <w:rPr>
                            <w:color w:val="FFFFFF"/>
                            <w:spacing w:val="-1"/>
                            <w:w w:val="95"/>
                          </w:rPr>
                          <w:t xml:space="preserve"> </w:t>
                        </w:r>
                        <w:r>
                          <w:rPr>
                            <w:color w:val="FFFFFF"/>
                            <w:w w:val="95"/>
                          </w:rPr>
                          <w:t>interventions</w:t>
                        </w:r>
                      </w:p>
                    </w:txbxContent>
                  </v:textbox>
                </v:rect>
                <v:rect id="Rectangle 47" o:spid="_x0000_s1072" style="position:absolute;left:18059;top:18518;width:3312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B5BCD9A" w14:textId="77777777" w:rsidR="00F21187" w:rsidRDefault="00F21187" w:rsidP="00F21187">
                        <w:r>
                          <w:rPr>
                            <w:color w:val="FFFFFF"/>
                            <w:w w:val="96"/>
                          </w:rPr>
                          <w:t>Non-randomly</w:t>
                        </w:r>
                        <w:r>
                          <w:rPr>
                            <w:color w:val="FFFFFF"/>
                            <w:spacing w:val="-1"/>
                            <w:w w:val="96"/>
                          </w:rPr>
                          <w:t xml:space="preserve"> </w:t>
                        </w:r>
                        <w:r>
                          <w:rPr>
                            <w:color w:val="FFFFFF"/>
                            <w:w w:val="96"/>
                          </w:rPr>
                          <w:t>assigns</w:t>
                        </w:r>
                        <w:r>
                          <w:rPr>
                            <w:color w:val="FFFFFF"/>
                            <w:spacing w:val="-1"/>
                            <w:w w:val="96"/>
                          </w:rPr>
                          <w:t xml:space="preserve"> </w:t>
                        </w:r>
                        <w:r>
                          <w:rPr>
                            <w:color w:val="FFFFFF"/>
                            <w:w w:val="96"/>
                          </w:rPr>
                          <w:t>groups</w:t>
                        </w:r>
                        <w:r>
                          <w:rPr>
                            <w:color w:val="FFFFFF"/>
                            <w:spacing w:val="-1"/>
                            <w:w w:val="96"/>
                          </w:rPr>
                          <w:t xml:space="preserve"> </w:t>
                        </w:r>
                        <w:r>
                          <w:rPr>
                            <w:color w:val="FFFFFF"/>
                            <w:w w:val="96"/>
                          </w:rPr>
                          <w:t>of</w:t>
                        </w:r>
                        <w:r>
                          <w:rPr>
                            <w:color w:val="FFFFFF"/>
                            <w:spacing w:val="-1"/>
                            <w:w w:val="96"/>
                          </w:rPr>
                          <w:t xml:space="preserve"> </w:t>
                        </w:r>
                        <w:r>
                          <w:rPr>
                            <w:color w:val="FFFFFF"/>
                            <w:w w:val="96"/>
                          </w:rPr>
                          <w:t>patients</w:t>
                        </w:r>
                        <w:r>
                          <w:rPr>
                            <w:color w:val="FFFFFF"/>
                            <w:spacing w:val="-1"/>
                            <w:w w:val="96"/>
                          </w:rPr>
                          <w:t xml:space="preserve">  </w:t>
                        </w:r>
                      </w:p>
                    </w:txbxContent>
                  </v:textbox>
                </v:rect>
                <v:rect id="Rectangle 48" o:spid="_x0000_s1073" style="position:absolute;left:18059;top:20359;width:30942;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4AA1276" w14:textId="77777777" w:rsidR="00F21187" w:rsidRDefault="00F21187" w:rsidP="00F21187">
                        <w:r>
                          <w:rPr>
                            <w:color w:val="FFFFFF"/>
                            <w:w w:val="94"/>
                          </w:rPr>
                          <w:t>to</w:t>
                        </w:r>
                        <w:r>
                          <w:rPr>
                            <w:color w:val="FFFFFF"/>
                            <w:spacing w:val="-1"/>
                            <w:w w:val="94"/>
                          </w:rPr>
                          <w:t xml:space="preserve"> </w:t>
                        </w:r>
                        <w:r>
                          <w:rPr>
                            <w:color w:val="FFFFFF"/>
                            <w:w w:val="94"/>
                          </w:rPr>
                          <w:t>receive</w:t>
                        </w:r>
                        <w:r>
                          <w:rPr>
                            <w:color w:val="FFFFFF"/>
                            <w:spacing w:val="-1"/>
                            <w:w w:val="94"/>
                          </w:rPr>
                          <w:t xml:space="preserve"> </w:t>
                        </w:r>
                        <w:r>
                          <w:rPr>
                            <w:color w:val="FFFFFF"/>
                            <w:w w:val="94"/>
                          </w:rPr>
                          <w:t>either</w:t>
                        </w:r>
                        <w:r>
                          <w:rPr>
                            <w:color w:val="FFFFFF"/>
                            <w:spacing w:val="-1"/>
                            <w:w w:val="94"/>
                          </w:rPr>
                          <w:t xml:space="preserve"> </w:t>
                        </w:r>
                        <w:r>
                          <w:rPr>
                            <w:color w:val="FFFFFF"/>
                            <w:w w:val="94"/>
                          </w:rPr>
                          <w:t>a</w:t>
                        </w:r>
                        <w:r>
                          <w:rPr>
                            <w:color w:val="FFFFFF"/>
                            <w:spacing w:val="-1"/>
                            <w:w w:val="94"/>
                          </w:rPr>
                          <w:t xml:space="preserve"> </w:t>
                        </w:r>
                        <w:r>
                          <w:rPr>
                            <w:color w:val="FFFFFF"/>
                            <w:w w:val="94"/>
                          </w:rPr>
                          <w:t>treatment</w:t>
                        </w:r>
                        <w:r>
                          <w:rPr>
                            <w:color w:val="FFFFFF"/>
                            <w:spacing w:val="-1"/>
                            <w:w w:val="94"/>
                          </w:rPr>
                          <w:t xml:space="preserve"> </w:t>
                        </w:r>
                        <w:r>
                          <w:rPr>
                            <w:color w:val="FFFFFF"/>
                            <w:w w:val="94"/>
                          </w:rPr>
                          <w:t>or</w:t>
                        </w:r>
                        <w:r>
                          <w:rPr>
                            <w:color w:val="FFFFFF"/>
                            <w:spacing w:val="-1"/>
                            <w:w w:val="94"/>
                          </w:rPr>
                          <w:t xml:space="preserve"> </w:t>
                        </w:r>
                        <w:r>
                          <w:rPr>
                            <w:color w:val="FFFFFF"/>
                            <w:w w:val="94"/>
                          </w:rPr>
                          <w:t>placebo</w:t>
                        </w:r>
                      </w:p>
                    </w:txbxContent>
                  </v:textbox>
                </v:rect>
                <v:rect id="Rectangle 49" o:spid="_x0000_s1074" style="position:absolute;left:18059;top:26595;width:30732;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5B16ADF" w14:textId="77777777" w:rsidR="00F21187" w:rsidRDefault="00F21187" w:rsidP="00F21187">
                        <w:r>
                          <w:rPr>
                            <w:color w:val="FFFFFF"/>
                            <w:w w:val="95"/>
                          </w:rPr>
                          <w:t>Follows</w:t>
                        </w:r>
                        <w:r>
                          <w:rPr>
                            <w:color w:val="FFFFFF"/>
                            <w:spacing w:val="-1"/>
                            <w:w w:val="95"/>
                          </w:rPr>
                          <w:t xml:space="preserve"> </w:t>
                        </w:r>
                        <w:r>
                          <w:rPr>
                            <w:color w:val="FFFFFF"/>
                            <w:w w:val="95"/>
                          </w:rPr>
                          <w:t>a</w:t>
                        </w:r>
                        <w:r>
                          <w:rPr>
                            <w:color w:val="FFFFFF"/>
                            <w:spacing w:val="-1"/>
                            <w:w w:val="95"/>
                          </w:rPr>
                          <w:t xml:space="preserve"> </w:t>
                        </w:r>
                        <w:r>
                          <w:rPr>
                            <w:color w:val="FFFFFF"/>
                            <w:w w:val="95"/>
                          </w:rPr>
                          <w:t>group</w:t>
                        </w:r>
                        <w:r>
                          <w:rPr>
                            <w:color w:val="FFFFFF"/>
                            <w:spacing w:val="-1"/>
                            <w:w w:val="95"/>
                          </w:rPr>
                          <w:t xml:space="preserve"> </w:t>
                        </w:r>
                        <w:r>
                          <w:rPr>
                            <w:color w:val="FFFFFF"/>
                            <w:w w:val="95"/>
                          </w:rPr>
                          <w:t>of</w:t>
                        </w:r>
                        <w:r>
                          <w:rPr>
                            <w:color w:val="FFFFFF"/>
                            <w:spacing w:val="-1"/>
                            <w:w w:val="95"/>
                          </w:rPr>
                          <w:t xml:space="preserve"> </w:t>
                        </w:r>
                        <w:r>
                          <w:rPr>
                            <w:color w:val="FFFFFF"/>
                            <w:w w:val="95"/>
                          </w:rPr>
                          <w:t>people</w:t>
                        </w:r>
                        <w:r>
                          <w:rPr>
                            <w:color w:val="FFFFFF"/>
                            <w:spacing w:val="-1"/>
                            <w:w w:val="95"/>
                          </w:rPr>
                          <w:t xml:space="preserve"> </w:t>
                        </w:r>
                        <w:r>
                          <w:rPr>
                            <w:color w:val="FFFFFF"/>
                            <w:w w:val="95"/>
                          </w:rPr>
                          <w:t>to</w:t>
                        </w:r>
                        <w:r>
                          <w:rPr>
                            <w:color w:val="FFFFFF"/>
                            <w:spacing w:val="-1"/>
                            <w:w w:val="95"/>
                          </w:rPr>
                          <w:t xml:space="preserve"> </w:t>
                        </w:r>
                        <w:r>
                          <w:rPr>
                            <w:color w:val="FFFFFF"/>
                            <w:w w:val="95"/>
                          </w:rPr>
                          <w:t>track</w:t>
                        </w:r>
                        <w:r>
                          <w:rPr>
                            <w:color w:val="FFFFFF"/>
                            <w:spacing w:val="-1"/>
                            <w:w w:val="95"/>
                          </w:rPr>
                          <w:t xml:space="preserve"> </w:t>
                        </w:r>
                        <w:r>
                          <w:rPr>
                            <w:color w:val="FFFFFF"/>
                            <w:w w:val="95"/>
                          </w:rPr>
                          <w:t>risk</w:t>
                        </w:r>
                        <w:r>
                          <w:rPr>
                            <w:color w:val="FFFFFF"/>
                            <w:spacing w:val="-1"/>
                            <w:w w:val="95"/>
                          </w:rPr>
                          <w:t xml:space="preserve">  </w:t>
                        </w:r>
                      </w:p>
                    </w:txbxContent>
                  </v:textbox>
                </v:rect>
                <v:rect id="Rectangle 50" o:spid="_x0000_s1075" style="position:absolute;left:18059;top:28436;width:24746;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4011B17" w14:textId="77777777" w:rsidR="00F21187" w:rsidRDefault="00F21187" w:rsidP="00F21187">
                        <w:r>
                          <w:rPr>
                            <w:color w:val="FFFFFF"/>
                            <w:w w:val="95"/>
                          </w:rPr>
                          <w:t>factors</w:t>
                        </w:r>
                        <w:r>
                          <w:rPr>
                            <w:color w:val="FFFFFF"/>
                            <w:spacing w:val="-1"/>
                            <w:w w:val="95"/>
                          </w:rPr>
                          <w:t xml:space="preserve"> </w:t>
                        </w:r>
                        <w:r>
                          <w:rPr>
                            <w:color w:val="FFFFFF"/>
                            <w:w w:val="95"/>
                          </w:rPr>
                          <w:t>and</w:t>
                        </w:r>
                        <w:r>
                          <w:rPr>
                            <w:color w:val="FFFFFF"/>
                            <w:spacing w:val="-1"/>
                            <w:w w:val="95"/>
                          </w:rPr>
                          <w:t xml:space="preserve"> </w:t>
                        </w:r>
                        <w:r>
                          <w:rPr>
                            <w:color w:val="FFFFFF"/>
                            <w:w w:val="95"/>
                          </w:rPr>
                          <w:t>outcomes</w:t>
                        </w:r>
                        <w:r>
                          <w:rPr>
                            <w:color w:val="FFFFFF"/>
                            <w:spacing w:val="-1"/>
                            <w:w w:val="95"/>
                          </w:rPr>
                          <w:t xml:space="preserve"> </w:t>
                        </w:r>
                        <w:r>
                          <w:rPr>
                            <w:color w:val="FFFFFF"/>
                            <w:w w:val="95"/>
                          </w:rPr>
                          <w:t>over</w:t>
                        </w:r>
                        <w:r>
                          <w:rPr>
                            <w:color w:val="FFFFFF"/>
                            <w:spacing w:val="-1"/>
                            <w:w w:val="95"/>
                          </w:rPr>
                          <w:t xml:space="preserve"> </w:t>
                        </w:r>
                        <w:r>
                          <w:rPr>
                            <w:color w:val="FFFFFF"/>
                            <w:w w:val="95"/>
                          </w:rPr>
                          <w:t>time</w:t>
                        </w:r>
                      </w:p>
                    </w:txbxContent>
                  </v:textbox>
                </v:rect>
                <v:rect id="Rectangle 51" o:spid="_x0000_s1076" style="position:absolute;left:18059;top:34672;width:30928;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568A699" w14:textId="77777777" w:rsidR="00F21187" w:rsidRDefault="00F21187" w:rsidP="00F21187">
                        <w:r>
                          <w:rPr>
                            <w:color w:val="FFFFFF"/>
                            <w:spacing w:val="-4"/>
                            <w:w w:val="92"/>
                          </w:rPr>
                          <w:t xml:space="preserve">Compares histories of a group of people </w:t>
                        </w:r>
                        <w:r>
                          <w:rPr>
                            <w:color w:val="FFFFFF"/>
                            <w:spacing w:val="-5"/>
                            <w:w w:val="92"/>
                          </w:rPr>
                          <w:t xml:space="preserve"> </w:t>
                        </w:r>
                      </w:p>
                    </w:txbxContent>
                  </v:textbox>
                </v:rect>
                <v:rect id="Rectangle 52" o:spid="_x0000_s1077" style="position:absolute;left:18059;top:36513;width:33717;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F22C727" w14:textId="77777777" w:rsidR="00F21187" w:rsidRDefault="00F21187" w:rsidP="00F21187">
                        <w:r>
                          <w:rPr>
                            <w:color w:val="FFFFFF"/>
                            <w:spacing w:val="-4"/>
                            <w:w w:val="91"/>
                          </w:rPr>
                          <w:t>with a condition to a group of people without</w:t>
                        </w:r>
                      </w:p>
                    </w:txbxContent>
                  </v:textbox>
                </v:rect>
                <v:rect id="Rectangle 53" o:spid="_x0000_s1078" style="position:absolute;left:18059;top:42749;width:33654;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F0FCC4F" w14:textId="77777777" w:rsidR="00F21187" w:rsidRDefault="00F21187" w:rsidP="00F21187">
                        <w:r>
                          <w:rPr>
                            <w:color w:val="FFFFFF"/>
                            <w:w w:val="96"/>
                          </w:rPr>
                          <w:t>Assesses</w:t>
                        </w:r>
                        <w:r>
                          <w:rPr>
                            <w:color w:val="FFFFFF"/>
                            <w:spacing w:val="-1"/>
                            <w:w w:val="96"/>
                          </w:rPr>
                          <w:t xml:space="preserve"> </w:t>
                        </w:r>
                        <w:r>
                          <w:rPr>
                            <w:color w:val="FFFFFF"/>
                            <w:w w:val="96"/>
                          </w:rPr>
                          <w:t>the</w:t>
                        </w:r>
                        <w:r>
                          <w:rPr>
                            <w:color w:val="FFFFFF"/>
                            <w:spacing w:val="-1"/>
                            <w:w w:val="96"/>
                          </w:rPr>
                          <w:t xml:space="preserve"> </w:t>
                        </w:r>
                        <w:r>
                          <w:rPr>
                            <w:color w:val="FFFFFF"/>
                            <w:w w:val="96"/>
                          </w:rPr>
                          <w:t>prevalence</w:t>
                        </w:r>
                        <w:r>
                          <w:rPr>
                            <w:color w:val="FFFFFF"/>
                            <w:spacing w:val="-1"/>
                            <w:w w:val="96"/>
                          </w:rPr>
                          <w:t xml:space="preserve"> </w:t>
                        </w:r>
                        <w:r>
                          <w:rPr>
                            <w:color w:val="FFFFFF"/>
                            <w:w w:val="96"/>
                          </w:rPr>
                          <w:t>of</w:t>
                        </w:r>
                        <w:r>
                          <w:rPr>
                            <w:color w:val="FFFFFF"/>
                            <w:spacing w:val="-1"/>
                            <w:w w:val="96"/>
                          </w:rPr>
                          <w:t xml:space="preserve"> </w:t>
                        </w:r>
                        <w:r>
                          <w:rPr>
                            <w:color w:val="FFFFFF"/>
                            <w:w w:val="96"/>
                          </w:rPr>
                          <w:t>an</w:t>
                        </w:r>
                        <w:r>
                          <w:rPr>
                            <w:color w:val="FFFFFF"/>
                            <w:spacing w:val="-1"/>
                            <w:w w:val="96"/>
                          </w:rPr>
                          <w:t xml:space="preserve"> </w:t>
                        </w:r>
                        <w:r>
                          <w:rPr>
                            <w:color w:val="FFFFFF"/>
                            <w:w w:val="96"/>
                          </w:rPr>
                          <w:t>outcome</w:t>
                        </w:r>
                        <w:r>
                          <w:rPr>
                            <w:color w:val="FFFFFF"/>
                            <w:spacing w:val="-1"/>
                            <w:w w:val="96"/>
                          </w:rPr>
                          <w:t xml:space="preserve"> </w:t>
                        </w:r>
                        <w:r>
                          <w:rPr>
                            <w:color w:val="FFFFFF"/>
                            <w:w w:val="96"/>
                          </w:rPr>
                          <w:t>in</w:t>
                        </w:r>
                        <w:r>
                          <w:rPr>
                            <w:color w:val="FFFFFF"/>
                            <w:spacing w:val="-1"/>
                            <w:w w:val="96"/>
                          </w:rPr>
                          <w:t xml:space="preserve">  </w:t>
                        </w:r>
                      </w:p>
                    </w:txbxContent>
                  </v:textbox>
                </v:rect>
                <v:rect id="Rectangle 54" o:spid="_x0000_s1079" style="position:absolute;left:18059;top:44590;width:30282;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463D502" w14:textId="77777777" w:rsidR="00F21187" w:rsidRDefault="00F21187" w:rsidP="00F21187">
                        <w:r>
                          <w:rPr>
                            <w:color w:val="FFFFFF"/>
                            <w:w w:val="94"/>
                          </w:rPr>
                          <w:t>a</w:t>
                        </w:r>
                        <w:r>
                          <w:rPr>
                            <w:color w:val="FFFFFF"/>
                            <w:spacing w:val="-1"/>
                            <w:w w:val="94"/>
                          </w:rPr>
                          <w:t xml:space="preserve"> </w:t>
                        </w:r>
                        <w:r>
                          <w:rPr>
                            <w:color w:val="FFFFFF"/>
                            <w:w w:val="94"/>
                          </w:rPr>
                          <w:t>broad</w:t>
                        </w:r>
                        <w:r>
                          <w:rPr>
                            <w:color w:val="FFFFFF"/>
                            <w:spacing w:val="-1"/>
                            <w:w w:val="94"/>
                          </w:rPr>
                          <w:t xml:space="preserve"> </w:t>
                        </w:r>
                        <w:r>
                          <w:rPr>
                            <w:color w:val="FFFFFF"/>
                            <w:w w:val="94"/>
                          </w:rPr>
                          <w:t>population</w:t>
                        </w:r>
                        <w:r>
                          <w:rPr>
                            <w:color w:val="FFFFFF"/>
                            <w:spacing w:val="-1"/>
                            <w:w w:val="94"/>
                          </w:rPr>
                          <w:t xml:space="preserve"> </w:t>
                        </w:r>
                        <w:r>
                          <w:rPr>
                            <w:color w:val="FFFFFF"/>
                            <w:w w:val="94"/>
                          </w:rPr>
                          <w:t>at</w:t>
                        </w:r>
                        <w:r>
                          <w:rPr>
                            <w:color w:val="FFFFFF"/>
                            <w:spacing w:val="-1"/>
                            <w:w w:val="94"/>
                          </w:rPr>
                          <w:t xml:space="preserve"> </w:t>
                        </w:r>
                        <w:r>
                          <w:rPr>
                            <w:color w:val="FFFFFF"/>
                            <w:w w:val="94"/>
                          </w:rPr>
                          <w:t>one</w:t>
                        </w:r>
                        <w:r>
                          <w:rPr>
                            <w:color w:val="FFFFFF"/>
                            <w:spacing w:val="-1"/>
                            <w:w w:val="94"/>
                          </w:rPr>
                          <w:t xml:space="preserve"> </w:t>
                        </w:r>
                        <w:r>
                          <w:rPr>
                            <w:color w:val="FFFFFF"/>
                            <w:w w:val="94"/>
                          </w:rPr>
                          <w:t>point</w:t>
                        </w:r>
                        <w:r>
                          <w:rPr>
                            <w:color w:val="FFFFFF"/>
                            <w:spacing w:val="-1"/>
                            <w:w w:val="94"/>
                          </w:rPr>
                          <w:t xml:space="preserve"> </w:t>
                        </w:r>
                        <w:r>
                          <w:rPr>
                            <w:color w:val="FFFFFF"/>
                            <w:w w:val="94"/>
                          </w:rPr>
                          <w:t>in</w:t>
                        </w:r>
                        <w:r>
                          <w:rPr>
                            <w:color w:val="FFFFFF"/>
                            <w:spacing w:val="-1"/>
                            <w:w w:val="94"/>
                          </w:rPr>
                          <w:t xml:space="preserve"> </w:t>
                        </w:r>
                        <w:r>
                          <w:rPr>
                            <w:color w:val="FFFFFF"/>
                            <w:w w:val="94"/>
                          </w:rPr>
                          <w:t>time</w:t>
                        </w:r>
                      </w:p>
                    </w:txbxContent>
                  </v:textbox>
                </v:rect>
                <v:rect id="Rectangle 55" o:spid="_x0000_s1080" style="position:absolute;left:18059;top:50826;width:30873;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5EE234E" w14:textId="77777777" w:rsidR="00F21187" w:rsidRDefault="00F21187" w:rsidP="00F21187">
                        <w:r>
                          <w:rPr>
                            <w:color w:val="FFFFFF"/>
                            <w:w w:val="95"/>
                          </w:rPr>
                          <w:t>Detailed</w:t>
                        </w:r>
                        <w:r>
                          <w:rPr>
                            <w:color w:val="FFFFFF"/>
                            <w:spacing w:val="-1"/>
                            <w:w w:val="95"/>
                          </w:rPr>
                          <w:t xml:space="preserve"> </w:t>
                        </w:r>
                        <w:r>
                          <w:rPr>
                            <w:color w:val="FFFFFF"/>
                            <w:w w:val="95"/>
                          </w:rPr>
                          <w:t>histories</w:t>
                        </w:r>
                        <w:r>
                          <w:rPr>
                            <w:color w:val="FFFFFF"/>
                            <w:spacing w:val="-1"/>
                            <w:w w:val="95"/>
                          </w:rPr>
                          <w:t xml:space="preserve"> </w:t>
                        </w:r>
                        <w:r>
                          <w:rPr>
                            <w:color w:val="FFFFFF"/>
                            <w:w w:val="95"/>
                          </w:rPr>
                          <w:t>of</w:t>
                        </w:r>
                        <w:r>
                          <w:rPr>
                            <w:color w:val="FFFFFF"/>
                            <w:spacing w:val="-1"/>
                            <w:w w:val="95"/>
                          </w:rPr>
                          <w:t xml:space="preserve"> </w:t>
                        </w:r>
                        <w:r>
                          <w:rPr>
                            <w:color w:val="FFFFFF"/>
                            <w:w w:val="95"/>
                          </w:rPr>
                          <w:t>a</w:t>
                        </w:r>
                        <w:r>
                          <w:rPr>
                            <w:color w:val="FFFFFF"/>
                            <w:spacing w:val="-1"/>
                            <w:w w:val="95"/>
                          </w:rPr>
                          <w:t xml:space="preserve"> </w:t>
                        </w:r>
                        <w:r>
                          <w:rPr>
                            <w:color w:val="FFFFFF"/>
                            <w:w w:val="95"/>
                          </w:rPr>
                          <w:t>small</w:t>
                        </w:r>
                        <w:r>
                          <w:rPr>
                            <w:color w:val="FFFFFF"/>
                            <w:spacing w:val="-1"/>
                            <w:w w:val="95"/>
                          </w:rPr>
                          <w:t xml:space="preserve"> </w:t>
                        </w:r>
                        <w:r>
                          <w:rPr>
                            <w:color w:val="FFFFFF"/>
                            <w:w w:val="95"/>
                          </w:rPr>
                          <w:t>number</w:t>
                        </w:r>
                        <w:r>
                          <w:rPr>
                            <w:color w:val="FFFFFF"/>
                            <w:spacing w:val="-1"/>
                            <w:w w:val="95"/>
                          </w:rPr>
                          <w:t xml:space="preserve"> </w:t>
                        </w:r>
                        <w:r>
                          <w:rPr>
                            <w:color w:val="FFFFFF"/>
                            <w:w w:val="95"/>
                          </w:rPr>
                          <w:t>of</w:t>
                        </w:r>
                        <w:r>
                          <w:rPr>
                            <w:color w:val="FFFFFF"/>
                            <w:spacing w:val="-1"/>
                            <w:w w:val="95"/>
                          </w:rPr>
                          <w:t xml:space="preserve"> </w:t>
                        </w:r>
                      </w:p>
                    </w:txbxContent>
                  </v:textbox>
                </v:rect>
                <v:rect id="Rectangle 56" o:spid="_x0000_s1081" style="position:absolute;left:18059;top:52667;width:12414;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87BB8DC" w14:textId="77777777" w:rsidR="00F21187" w:rsidRDefault="00F21187" w:rsidP="00F21187">
                        <w:r>
                          <w:rPr>
                            <w:color w:val="FFFFFF"/>
                            <w:w w:val="97"/>
                          </w:rPr>
                          <w:t>individual</w:t>
                        </w:r>
                        <w:r>
                          <w:rPr>
                            <w:color w:val="FFFFFF"/>
                            <w:spacing w:val="-1"/>
                            <w:w w:val="97"/>
                          </w:rPr>
                          <w:t xml:space="preserve"> </w:t>
                        </w:r>
                        <w:r>
                          <w:rPr>
                            <w:color w:val="FFFFFF"/>
                            <w:w w:val="97"/>
                          </w:rPr>
                          <w:t>cases</w:t>
                        </w:r>
                      </w:p>
                    </w:txbxContent>
                  </v:textbox>
                </v:rect>
                <v:shape id="Shape 333" o:spid="_x0000_s1082" style="position:absolute;left:17135;width:0;height:56528;visibility:visible;mso-wrap-style:square;v-text-anchor:top" coordsize="0,565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" path="m,5652808l,e" filled="f" strokecolor="white" strokeweight=".5pt">
                  <v:stroke endcap="round"/>
                  <v:path arrowok="t" textboxrect="0,0,0,5652808"/>
                </v:shape>
                <v:shape id="Shape 334" o:spid="_x0000_s1083" style="position:absolute;left:17135;top:5665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" path="m,l,e" filled="f" strokecolor="white" strokeweight=".5pt">
                  <v:stroke endcap="round"/>
                  <v:path arrowok="t" textboxrect="0,0,0,0"/>
                </v:shape>
                <v:shape id="Shape 336" o:spid="_x0000_s1084" style="position:absolute;left:2924;top:964;width:0;height:55615;visibility:visible;mso-wrap-style:square;v-text-anchor:top" coordsize="0,556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" path="m,5561546l,e" filled="f" strokeweight="2pt">
                  <v:stroke miterlimit="1" joinstyle="miter"/>
                  <v:path arrowok="t" textboxrect="0,0,0,5561546"/>
                </v:shape>
                <v:shape id="Shape 337" o:spid="_x0000_s1085" style="position:absolute;left:2428;top:84;width:992;height:1362;visibility:visible;mso-wrap-style:square;v-text-anchor:top" coordsize="99111,1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" path="m49556,l99111,136169,,136169,49556,xe" fillcolor="black" stroked="f" strokeweight="0">
                  <v:stroke miterlimit="1" joinstyle="miter"/>
                  <v:path arrowok="t" textboxrect="0,0,99111,136169"/>
                </v:shape>
                <w10:wrap type="square" anchorx="margin"/>
              </v:group>
            </w:pict>
          </mc:Fallback>
        </mc:AlternateContent>
      </w:r>
    </w:p>
    <w:p w14:paraId="7A694E80" w14:textId="77777777" w:rsidR="00F21187" w:rsidRDefault="00F21187" w:rsidP="00F21187"/>
    <w:p w14:paraId="34F57917" w14:textId="77777777" w:rsidR="00F21187" w:rsidRDefault="00F21187" w:rsidP="00F21187"/>
    <w:p w14:paraId="4833331C" w14:textId="77777777" w:rsidR="00F21187" w:rsidRDefault="00F21187" w:rsidP="00F21187"/>
    <w:p w14:paraId="6F3C8526" w14:textId="77777777" w:rsidR="00F21187" w:rsidRDefault="00F21187" w:rsidP="00F21187"/>
    <w:p w14:paraId="7FCCE3AF" w14:textId="77777777" w:rsidR="00F21187" w:rsidRDefault="00F21187" w:rsidP="00F21187"/>
    <w:p w14:paraId="7247AB87" w14:textId="77777777" w:rsidR="00F21187" w:rsidRDefault="00F21187" w:rsidP="00F21187"/>
    <w:p w14:paraId="428C5D18" w14:textId="77777777" w:rsidR="00F21187" w:rsidRDefault="00F21187" w:rsidP="00F21187"/>
    <w:p w14:paraId="1DDC2FB9" w14:textId="77777777" w:rsidR="00F21187" w:rsidRDefault="00F21187" w:rsidP="00F21187"/>
    <w:p w14:paraId="231F830E" w14:textId="77777777" w:rsidR="00F21187" w:rsidRDefault="00F21187" w:rsidP="00F21187"/>
    <w:p w14:paraId="0AF3886E" w14:textId="77777777" w:rsidR="00F21187" w:rsidRDefault="00F21187" w:rsidP="00F21187"/>
    <w:p w14:paraId="3BC59D5B" w14:textId="77777777" w:rsidR="00F21187" w:rsidRDefault="00F21187" w:rsidP="00F21187"/>
    <w:p w14:paraId="27328B25" w14:textId="77777777" w:rsidR="00F21187" w:rsidRDefault="00F21187" w:rsidP="00F21187"/>
    <w:p w14:paraId="5910D12C" w14:textId="77777777" w:rsidR="00F21187" w:rsidRDefault="00F21187" w:rsidP="00F21187"/>
    <w:p w14:paraId="753570CE" w14:textId="77777777" w:rsidR="00F21187" w:rsidRDefault="00F21187" w:rsidP="00F21187"/>
    <w:p w14:paraId="1E35774A" w14:textId="77777777" w:rsidR="00F21187" w:rsidRDefault="00F21187" w:rsidP="00F21187"/>
    <w:p w14:paraId="042E0D74" w14:textId="77777777" w:rsidR="00F21187" w:rsidRDefault="00F21187" w:rsidP="00F21187"/>
    <w:p w14:paraId="75C6DE20" w14:textId="77777777" w:rsidR="00F21187" w:rsidRDefault="00F21187" w:rsidP="00F21187"/>
    <w:p w14:paraId="69445A4C" w14:textId="77777777" w:rsidR="00F21187" w:rsidRDefault="00F21187" w:rsidP="00F21187">
      <w:r>
        <w:t>Figure 1 depicts a hierarchy of evidence.</w:t>
      </w:r>
      <w:r>
        <w:rPr>
          <w:rStyle w:val="EndnoteReference"/>
        </w:rPr>
        <w:endnoteReference w:id="2"/>
      </w:r>
      <w:r>
        <w:t xml:space="preserve">  It is important to note that while such frameworks have their merits in specific contexts, they are not without their limitations. Ranking evidence in this way may indirectly favour certain evidence sources over others, regardless of ability to inform a particular research investigation.</w:t>
      </w:r>
    </w:p>
    <w:p w14:paraId="7E490C5E" w14:textId="77777777" w:rsidR="00F21187" w:rsidRDefault="00F21187" w:rsidP="00F21187">
      <w:r>
        <w:t xml:space="preserve">The evidence in this report mainly comes from quantitative studies (including systematic reviews, cross-sectional surveys, cohort/case-control studies and experimental studies) and </w:t>
      </w:r>
      <w:proofErr w:type="gramStart"/>
      <w:r>
        <w:t>real world</w:t>
      </w:r>
      <w:proofErr w:type="gramEnd"/>
      <w:r>
        <w:t xml:space="preserve"> evidence (data from national datasets and audits). </w:t>
      </w:r>
    </w:p>
    <w:p w14:paraId="536C6E87" w14:textId="77777777" w:rsidR="00F21187" w:rsidRDefault="00F21187" w:rsidP="00F21187">
      <w:r>
        <w:t xml:space="preserve">However, we also include evidence that has been generated from the variety of methodological approaches at our disposal, some of which may not rank highly in such hierarchies </w:t>
      </w:r>
      <w:proofErr w:type="spellStart"/>
      <w:proofErr w:type="gramStart"/>
      <w:r>
        <w:t>eg</w:t>
      </w:r>
      <w:proofErr w:type="spellEnd"/>
      <w:proofErr w:type="gramEnd"/>
      <w:r>
        <w:t xml:space="preserve"> case study or focus group data or online survey data. This kind of evidence, drawing on lived experience of MSK conditions, adds increased depth and context to some of the statistics we present in this report. </w:t>
      </w:r>
    </w:p>
    <w:p w14:paraId="01D91EF8" w14:textId="77777777" w:rsidR="00F21187" w:rsidRDefault="00F21187" w:rsidP="00F21187">
      <w:r>
        <w:lastRenderedPageBreak/>
        <w:t>If there is something you would like to know which isn’t covered in this report, ask us by emailing data@versusarthritis.org and we’ll see if we can help.</w:t>
      </w:r>
    </w:p>
    <w:p w14:paraId="0185AF1E" w14:textId="77777777" w:rsidR="00F21187" w:rsidRDefault="00F21187" w:rsidP="00F21187"/>
    <w:p w14:paraId="009BCD06" w14:textId="77777777" w:rsidR="00F21187" w:rsidRDefault="00F21187" w:rsidP="00F21187">
      <w:pPr>
        <w:pStyle w:val="Heading1"/>
        <w:rPr>
          <w:rFonts w:eastAsiaTheme="minorEastAsia"/>
        </w:rPr>
      </w:pPr>
      <w:bookmarkStart w:id="7" w:name="_Toc85547748"/>
      <w:r>
        <w:rPr>
          <w:rFonts w:eastAsiaTheme="minorEastAsia"/>
        </w:rPr>
        <w:t>03 What are musculoskeletal conditions?</w:t>
      </w:r>
      <w:bookmarkEnd w:id="7"/>
    </w:p>
    <w:p w14:paraId="74150F5A" w14:textId="77777777" w:rsidR="00F21187" w:rsidRDefault="00F21187" w:rsidP="00F21187">
      <w:r>
        <w:t xml:space="preserve">Musculoskeletal (MSK) conditions affect the joints, bones, muscles and spine, and include rare autoimmune conditions such as lupus. Common symptoms may include pain, joint stiffness and a loss of mobility and dexterity. These symptoms can fluctuate over time. Millions of people develop these conditions over a lifetime, ranging from minor injuries to short or long-term conditions. </w:t>
      </w:r>
    </w:p>
    <w:p w14:paraId="66FAD4E7" w14:textId="77777777" w:rsidR="00F21187" w:rsidRDefault="00F21187" w:rsidP="00F21187">
      <w:r>
        <w:t xml:space="preserve">Some MSK conditions are present at birth and are lifelong, while others can occur suddenly at any age and progress rapidly. Other MSK conditions progress gradually and become more common and worsen as we age. </w:t>
      </w:r>
    </w:p>
    <w:p w14:paraId="3FC692D6" w14:textId="77777777" w:rsidR="00F21187" w:rsidRDefault="00F21187" w:rsidP="00F21187">
      <w:r>
        <w:t>Broadly speaking there are three groups of MSK conditions:</w:t>
      </w:r>
    </w:p>
    <w:p w14:paraId="3FFBEB51" w14:textId="77777777" w:rsidR="00F21187" w:rsidRDefault="00F21187" w:rsidP="00F21187"/>
    <w:tbl>
      <w:tblPr>
        <w:tblW w:w="5000" w:type="pct"/>
        <w:tblLook w:val="04A0" w:firstRow="1" w:lastRow="0" w:firstColumn="1" w:lastColumn="0" w:noHBand="0" w:noVBand="1"/>
      </w:tblPr>
      <w:tblGrid>
        <w:gridCol w:w="1500"/>
        <w:gridCol w:w="3327"/>
        <w:gridCol w:w="2477"/>
        <w:gridCol w:w="3459"/>
      </w:tblGrid>
      <w:tr w:rsidR="00F21187" w14:paraId="2383EDC4" w14:textId="77777777" w:rsidTr="00F21187">
        <w:trPr>
          <w:trHeight w:val="827"/>
        </w:trPr>
        <w:tc>
          <w:tcPr>
            <w:tcW w:w="198" w:type="pct"/>
            <w:tcBorders>
              <w:top w:val="single" w:sz="8" w:space="0" w:color="FFFFFF"/>
              <w:left w:val="nil"/>
              <w:bottom w:val="single" w:sz="8" w:space="0" w:color="FFFFFF"/>
              <w:right w:val="single" w:sz="8" w:space="0" w:color="FFFFFF"/>
            </w:tcBorders>
            <w:vAlign w:val="center"/>
          </w:tcPr>
          <w:p w14:paraId="3E7F5885" w14:textId="77777777" w:rsidR="00F21187" w:rsidRDefault="00F21187">
            <w:pPr>
              <w:spacing w:after="0" w:line="240" w:lineRule="auto"/>
              <w:jc w:val="center"/>
              <w:rPr>
                <w:rFonts w:eastAsia="Times New Roman" w:cs="Arial"/>
                <w:b/>
                <w:bCs/>
                <w:color w:val="000000"/>
                <w:sz w:val="22"/>
                <w:lang w:val="en-US" w:eastAsia="en-GB"/>
              </w:rPr>
            </w:pPr>
          </w:p>
        </w:tc>
        <w:tc>
          <w:tcPr>
            <w:tcW w:w="1712" w:type="pct"/>
            <w:tcBorders>
              <w:top w:val="single" w:sz="8" w:space="0" w:color="FFFFFF"/>
              <w:left w:val="nil"/>
              <w:bottom w:val="single" w:sz="8" w:space="0" w:color="FFFFFF"/>
              <w:right w:val="single" w:sz="8" w:space="0" w:color="FFFFFF"/>
            </w:tcBorders>
            <w:shd w:val="clear" w:color="auto" w:fill="000000" w:themeFill="text1"/>
            <w:vAlign w:val="center"/>
            <w:hideMark/>
          </w:tcPr>
          <w:p w14:paraId="3673B4D8" w14:textId="77777777" w:rsidR="00F21187" w:rsidRDefault="00F21187">
            <w:pPr>
              <w:autoSpaceDE w:val="0"/>
              <w:autoSpaceDN w:val="0"/>
              <w:adjustRightInd w:val="0"/>
              <w:spacing w:before="100" w:beforeAutospacing="1" w:after="100" w:afterAutospacing="1" w:line="240" w:lineRule="auto"/>
              <w:jc w:val="center"/>
              <w:rPr>
                <w:rFonts w:ascii="VersusArthritis-Display" w:hAnsi="VersusArthritis-Display" w:cs="VersusArthritis-Display"/>
                <w:color w:val="FFFFFF" w:themeColor="background1"/>
                <w:sz w:val="31"/>
                <w:szCs w:val="31"/>
                <w:lang w:val="en-US"/>
              </w:rPr>
            </w:pPr>
            <w:r>
              <w:rPr>
                <w:rFonts w:ascii="VersusArthritis-Display" w:hAnsi="VersusArthritis-Display" w:cs="VersusArthritis-Display"/>
                <w:color w:val="FFFFFF" w:themeColor="background1"/>
                <w:sz w:val="31"/>
                <w:szCs w:val="31"/>
                <w:lang w:val="en-US"/>
              </w:rPr>
              <w:t xml:space="preserve">Inflammatory conditions                   </w:t>
            </w:r>
            <w:proofErr w:type="gramStart"/>
            <w:r>
              <w:rPr>
                <w:rFonts w:ascii="VersusArthritis-Display" w:hAnsi="VersusArthritis-Display" w:cs="VersusArthritis-Display"/>
                <w:color w:val="FFFFFF" w:themeColor="background1"/>
                <w:sz w:val="31"/>
                <w:szCs w:val="31"/>
                <w:lang w:val="en-US"/>
              </w:rPr>
              <w:t xml:space="preserve">   </w:t>
            </w:r>
            <w:r>
              <w:rPr>
                <w:rFonts w:ascii="Calibre-Medium" w:hAnsi="Calibre-Medium" w:cs="Calibre-Medium"/>
                <w:b/>
                <w:bCs/>
                <w:color w:val="FFFFFF" w:themeColor="background1"/>
                <w:sz w:val="18"/>
                <w:szCs w:val="18"/>
                <w:lang w:val="en-US"/>
              </w:rPr>
              <w:t>(</w:t>
            </w:r>
            <w:proofErr w:type="spellStart"/>
            <w:proofErr w:type="gramEnd"/>
            <w:r>
              <w:rPr>
                <w:rFonts w:ascii="Calibre-Medium" w:hAnsi="Calibre-Medium" w:cs="Calibre-Medium"/>
                <w:b/>
                <w:bCs/>
                <w:color w:val="FFFFFF" w:themeColor="background1"/>
                <w:sz w:val="18"/>
                <w:szCs w:val="18"/>
                <w:lang w:val="en-US"/>
              </w:rPr>
              <w:t>eg</w:t>
            </w:r>
            <w:proofErr w:type="spellEnd"/>
            <w:r>
              <w:rPr>
                <w:rFonts w:ascii="Calibre-Medium" w:hAnsi="Calibre-Medium" w:cs="Calibre-Medium"/>
                <w:b/>
                <w:bCs/>
                <w:color w:val="FFFFFF" w:themeColor="background1"/>
                <w:sz w:val="18"/>
                <w:szCs w:val="18"/>
                <w:lang w:val="en-US"/>
              </w:rPr>
              <w:t xml:space="preserve"> rheumatoid arthritis)</w:t>
            </w:r>
          </w:p>
        </w:tc>
        <w:tc>
          <w:tcPr>
            <w:tcW w:w="1317" w:type="pct"/>
            <w:tcBorders>
              <w:top w:val="single" w:sz="8" w:space="0" w:color="FFFFFF"/>
              <w:left w:val="nil"/>
              <w:bottom w:val="single" w:sz="8" w:space="0" w:color="FFFFFF"/>
              <w:right w:val="single" w:sz="8" w:space="0" w:color="FFFFFF"/>
            </w:tcBorders>
            <w:shd w:val="clear" w:color="auto" w:fill="000000" w:themeFill="text1"/>
            <w:vAlign w:val="center"/>
            <w:hideMark/>
          </w:tcPr>
          <w:p w14:paraId="0FED83BC" w14:textId="77777777" w:rsidR="00F21187" w:rsidRDefault="00F21187">
            <w:pPr>
              <w:autoSpaceDE w:val="0"/>
              <w:autoSpaceDN w:val="0"/>
              <w:adjustRightInd w:val="0"/>
              <w:spacing w:before="100" w:beforeAutospacing="1" w:after="100" w:afterAutospacing="1" w:line="240" w:lineRule="auto"/>
              <w:jc w:val="center"/>
              <w:rPr>
                <w:rFonts w:ascii="VersusArthritis-Display" w:hAnsi="VersusArthritis-Display" w:cs="VersusArthritis-Display"/>
                <w:bCs/>
                <w:color w:val="FFFFFF" w:themeColor="background1"/>
                <w:sz w:val="31"/>
                <w:szCs w:val="31"/>
                <w:lang w:val="en-US"/>
              </w:rPr>
            </w:pPr>
            <w:r>
              <w:rPr>
                <w:rFonts w:ascii="VersusArthritis-Display" w:hAnsi="VersusArthritis-Display" w:cs="VersusArthritis-Display"/>
                <w:bCs/>
                <w:color w:val="FFFFFF" w:themeColor="background1"/>
                <w:sz w:val="31"/>
                <w:szCs w:val="31"/>
                <w:lang w:val="en-US"/>
              </w:rPr>
              <w:t xml:space="preserve">Conditions of MSK pain                       </w:t>
            </w:r>
            <w:proofErr w:type="gramStart"/>
            <w:r>
              <w:rPr>
                <w:rFonts w:ascii="VersusArthritis-Display" w:hAnsi="VersusArthritis-Display" w:cs="VersusArthritis-Display"/>
                <w:bCs/>
                <w:color w:val="FFFFFF" w:themeColor="background1"/>
                <w:sz w:val="31"/>
                <w:szCs w:val="31"/>
                <w:lang w:val="en-US"/>
              </w:rPr>
              <w:t xml:space="preserve">   </w:t>
            </w:r>
            <w:r>
              <w:rPr>
                <w:rFonts w:ascii="Calibre-Medium" w:hAnsi="Calibre-Medium" w:cs="Calibre-Medium"/>
                <w:bCs/>
                <w:color w:val="FFFFFF" w:themeColor="background1"/>
                <w:sz w:val="18"/>
                <w:szCs w:val="18"/>
                <w:lang w:val="en-US"/>
              </w:rPr>
              <w:t>(</w:t>
            </w:r>
            <w:proofErr w:type="spellStart"/>
            <w:proofErr w:type="gramEnd"/>
            <w:r>
              <w:rPr>
                <w:rFonts w:ascii="Calibre-Medium" w:hAnsi="Calibre-Medium" w:cs="Calibre-Medium"/>
                <w:bCs/>
                <w:color w:val="FFFFFF" w:themeColor="background1"/>
                <w:sz w:val="18"/>
                <w:szCs w:val="18"/>
                <w:lang w:val="en-US"/>
              </w:rPr>
              <w:t>eg</w:t>
            </w:r>
            <w:proofErr w:type="spellEnd"/>
            <w:r>
              <w:rPr>
                <w:rFonts w:ascii="Calibre-Medium" w:hAnsi="Calibre-Medium" w:cs="Calibre-Medium"/>
                <w:bCs/>
                <w:color w:val="FFFFFF" w:themeColor="background1"/>
                <w:sz w:val="18"/>
                <w:szCs w:val="18"/>
                <w:lang w:val="en-US"/>
              </w:rPr>
              <w:t xml:space="preserve"> osteoarthritis, back pain)</w:t>
            </w:r>
          </w:p>
        </w:tc>
        <w:tc>
          <w:tcPr>
            <w:tcW w:w="1773" w:type="pct"/>
            <w:tcBorders>
              <w:top w:val="single" w:sz="8" w:space="0" w:color="FFFFFF"/>
              <w:left w:val="nil"/>
              <w:bottom w:val="single" w:sz="8" w:space="0" w:color="FFFFFF"/>
              <w:right w:val="single" w:sz="8" w:space="0" w:color="FFFFFF"/>
            </w:tcBorders>
            <w:shd w:val="clear" w:color="auto" w:fill="000000" w:themeFill="text1"/>
            <w:vAlign w:val="center"/>
            <w:hideMark/>
          </w:tcPr>
          <w:p w14:paraId="25E37ECB" w14:textId="77777777" w:rsidR="00F21187" w:rsidRDefault="00F21187">
            <w:pPr>
              <w:autoSpaceDE w:val="0"/>
              <w:autoSpaceDN w:val="0"/>
              <w:adjustRightInd w:val="0"/>
              <w:spacing w:before="100" w:beforeAutospacing="1" w:after="100" w:afterAutospacing="1" w:line="240" w:lineRule="auto"/>
              <w:jc w:val="center"/>
              <w:rPr>
                <w:rFonts w:ascii="VersusArthritis-Display" w:hAnsi="VersusArthritis-Display" w:cs="VersusArthritis-Display"/>
                <w:color w:val="FFFFFF" w:themeColor="background1"/>
                <w:sz w:val="31"/>
                <w:szCs w:val="31"/>
                <w:lang w:val="en-US"/>
              </w:rPr>
            </w:pPr>
            <w:r>
              <w:rPr>
                <w:rFonts w:ascii="VersusArthritis-Display" w:hAnsi="VersusArthritis-Display" w:cs="VersusArthritis-Display"/>
                <w:color w:val="FFFFFF" w:themeColor="background1"/>
                <w:sz w:val="31"/>
                <w:szCs w:val="31"/>
                <w:lang w:val="en-US"/>
              </w:rPr>
              <w:t xml:space="preserve">Osteoporosis and fragility fractures                            </w:t>
            </w:r>
            <w:proofErr w:type="gramStart"/>
            <w:r>
              <w:rPr>
                <w:rFonts w:ascii="VersusArthritis-Display" w:hAnsi="VersusArthritis-Display" w:cs="VersusArthritis-Display"/>
                <w:color w:val="FFFFFF" w:themeColor="background1"/>
                <w:sz w:val="31"/>
                <w:szCs w:val="31"/>
                <w:lang w:val="en-US"/>
              </w:rPr>
              <w:t xml:space="preserve">   </w:t>
            </w:r>
            <w:r>
              <w:rPr>
                <w:rFonts w:ascii="Calibre-Medium" w:hAnsi="Calibre-Medium" w:cs="Calibre-Medium"/>
                <w:color w:val="FFFFFF" w:themeColor="background1"/>
                <w:sz w:val="18"/>
                <w:szCs w:val="18"/>
                <w:lang w:val="en-US"/>
              </w:rPr>
              <w:t>(</w:t>
            </w:r>
            <w:proofErr w:type="spellStart"/>
            <w:proofErr w:type="gramEnd"/>
            <w:r>
              <w:rPr>
                <w:rFonts w:ascii="Calibre-Medium" w:hAnsi="Calibre-Medium" w:cs="Calibre-Medium"/>
                <w:color w:val="FFFFFF" w:themeColor="background1"/>
                <w:sz w:val="18"/>
                <w:szCs w:val="18"/>
                <w:lang w:val="en-US"/>
              </w:rPr>
              <w:t>eg</w:t>
            </w:r>
            <w:proofErr w:type="spellEnd"/>
            <w:r>
              <w:rPr>
                <w:rFonts w:ascii="Calibre-Medium" w:hAnsi="Calibre-Medium" w:cs="Calibre-Medium"/>
                <w:color w:val="FFFFFF" w:themeColor="background1"/>
                <w:sz w:val="18"/>
                <w:szCs w:val="18"/>
                <w:lang w:val="en-US"/>
              </w:rPr>
              <w:t xml:space="preserve"> fracture after fall from standing height)</w:t>
            </w:r>
          </w:p>
        </w:tc>
      </w:tr>
      <w:tr w:rsidR="00F21187" w14:paraId="1E14D21C" w14:textId="77777777" w:rsidTr="00F21187">
        <w:trPr>
          <w:trHeight w:val="827"/>
        </w:trPr>
        <w:tc>
          <w:tcPr>
            <w:tcW w:w="198"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17453EA3" w14:textId="77777777" w:rsidR="00F21187" w:rsidRDefault="00F21187">
            <w:pPr>
              <w:spacing w:after="0" w:line="240" w:lineRule="auto"/>
              <w:jc w:val="center"/>
              <w:rPr>
                <w:rFonts w:eastAsia="Times New Roman" w:cs="Arial"/>
                <w:b/>
                <w:bCs/>
                <w:color w:val="000000"/>
                <w:sz w:val="22"/>
                <w:lang w:val="en-US" w:eastAsia="en-GB"/>
              </w:rPr>
            </w:pPr>
            <w:r>
              <w:rPr>
                <w:rFonts w:eastAsia="Times New Roman" w:cs="Arial"/>
                <w:b/>
                <w:bCs/>
                <w:color w:val="000000"/>
                <w:sz w:val="22"/>
                <w:lang w:val="en-US" w:eastAsia="en-GB"/>
              </w:rPr>
              <w:t>Age</w:t>
            </w:r>
          </w:p>
        </w:tc>
        <w:tc>
          <w:tcPr>
            <w:tcW w:w="1712"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5680C32A"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Affects any age.</w:t>
            </w:r>
          </w:p>
        </w:tc>
        <w:tc>
          <w:tcPr>
            <w:tcW w:w="1317"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24CBF4D5"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More common with rising age.</w:t>
            </w:r>
          </w:p>
        </w:tc>
        <w:tc>
          <w:tcPr>
            <w:tcW w:w="1773"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3F7C494D"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Affects mainly older people.</w:t>
            </w:r>
          </w:p>
        </w:tc>
      </w:tr>
      <w:tr w:rsidR="00F21187" w14:paraId="6E070CEA" w14:textId="77777777" w:rsidTr="00F21187">
        <w:trPr>
          <w:trHeight w:val="804"/>
        </w:trPr>
        <w:tc>
          <w:tcPr>
            <w:tcW w:w="198" w:type="pct"/>
            <w:tcBorders>
              <w:top w:val="nil"/>
              <w:left w:val="nil"/>
              <w:bottom w:val="single" w:sz="8" w:space="0" w:color="FFFFFF"/>
              <w:right w:val="single" w:sz="8" w:space="0" w:color="FFFFFF"/>
            </w:tcBorders>
            <w:shd w:val="clear" w:color="auto" w:fill="EAEDF1" w:themeFill="text2" w:themeFillTint="1A"/>
            <w:vAlign w:val="center"/>
            <w:hideMark/>
          </w:tcPr>
          <w:p w14:paraId="1FCD4C6C" w14:textId="77777777" w:rsidR="00F21187" w:rsidRDefault="00F21187">
            <w:pPr>
              <w:spacing w:after="0" w:line="240" w:lineRule="auto"/>
              <w:jc w:val="center"/>
              <w:rPr>
                <w:rFonts w:eastAsia="Times New Roman" w:cs="Arial"/>
                <w:b/>
                <w:bCs/>
                <w:color w:val="000000"/>
                <w:sz w:val="22"/>
                <w:lang w:val="en-US" w:eastAsia="en-GB"/>
              </w:rPr>
            </w:pPr>
            <w:r>
              <w:rPr>
                <w:rFonts w:eastAsia="Times New Roman" w:cs="Arial"/>
                <w:b/>
                <w:bCs/>
                <w:color w:val="000000"/>
                <w:sz w:val="22"/>
                <w:lang w:val="en-US" w:eastAsia="en-GB"/>
              </w:rPr>
              <w:t>Progression</w:t>
            </w:r>
          </w:p>
        </w:tc>
        <w:tc>
          <w:tcPr>
            <w:tcW w:w="1712"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21F99351"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Often rapid onset.</w:t>
            </w:r>
          </w:p>
        </w:tc>
        <w:tc>
          <w:tcPr>
            <w:tcW w:w="1317"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7E955A39"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Gradual onset.</w:t>
            </w:r>
          </w:p>
        </w:tc>
        <w:tc>
          <w:tcPr>
            <w:tcW w:w="1773"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42B327B4"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Osteoporosis is a gradual weakening of bone. Fragility fractures are sudden discrete events.</w:t>
            </w:r>
          </w:p>
        </w:tc>
      </w:tr>
      <w:tr w:rsidR="00F21187" w14:paraId="18867FB2" w14:textId="77777777" w:rsidTr="00F21187">
        <w:trPr>
          <w:trHeight w:val="732"/>
        </w:trPr>
        <w:tc>
          <w:tcPr>
            <w:tcW w:w="198" w:type="pct"/>
            <w:tcBorders>
              <w:top w:val="nil"/>
              <w:left w:val="nil"/>
              <w:bottom w:val="single" w:sz="8" w:space="0" w:color="FFFFFF"/>
              <w:right w:val="single" w:sz="8" w:space="0" w:color="FFFFFF"/>
            </w:tcBorders>
            <w:shd w:val="clear" w:color="auto" w:fill="EAEDF1" w:themeFill="text2" w:themeFillTint="1A"/>
            <w:vAlign w:val="center"/>
            <w:hideMark/>
          </w:tcPr>
          <w:p w14:paraId="1F8755C3" w14:textId="77777777" w:rsidR="00F21187" w:rsidRDefault="00F21187">
            <w:pPr>
              <w:spacing w:after="0" w:line="240" w:lineRule="auto"/>
              <w:jc w:val="center"/>
              <w:rPr>
                <w:rFonts w:eastAsia="Times New Roman" w:cs="Arial"/>
                <w:b/>
                <w:bCs/>
                <w:color w:val="000000"/>
                <w:sz w:val="22"/>
                <w:lang w:val="en-US" w:eastAsia="en-GB"/>
              </w:rPr>
            </w:pPr>
            <w:r>
              <w:rPr>
                <w:rFonts w:eastAsia="Times New Roman" w:cs="Arial"/>
                <w:b/>
                <w:bCs/>
                <w:color w:val="000000"/>
                <w:sz w:val="22"/>
                <w:lang w:val="en-US" w:eastAsia="en-GB"/>
              </w:rPr>
              <w:t>Prevalence</w:t>
            </w:r>
          </w:p>
        </w:tc>
        <w:tc>
          <w:tcPr>
            <w:tcW w:w="1712"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25F1CAEB"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Common (</w:t>
            </w:r>
            <w:proofErr w:type="spellStart"/>
            <w:proofErr w:type="gramStart"/>
            <w:r>
              <w:rPr>
                <w:rFonts w:eastAsia="Times New Roman" w:cs="Arial"/>
                <w:color w:val="000000"/>
                <w:sz w:val="22"/>
                <w:lang w:val="en-US" w:eastAsia="en-GB"/>
              </w:rPr>
              <w:t>eg</w:t>
            </w:r>
            <w:proofErr w:type="spellEnd"/>
            <w:proofErr w:type="gramEnd"/>
            <w:r>
              <w:rPr>
                <w:rFonts w:eastAsia="Times New Roman" w:cs="Arial"/>
                <w:color w:val="000000"/>
                <w:sz w:val="22"/>
                <w:lang w:val="en-US" w:eastAsia="en-GB"/>
              </w:rPr>
              <w:t xml:space="preserve"> over 430,000 people in the UK have rheumatoid arthritis).</w:t>
            </w:r>
          </w:p>
        </w:tc>
        <w:tc>
          <w:tcPr>
            <w:tcW w:w="1317"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4802723C"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Very common. (</w:t>
            </w:r>
            <w:proofErr w:type="spellStart"/>
            <w:proofErr w:type="gramStart"/>
            <w:r>
              <w:rPr>
                <w:rFonts w:eastAsia="Times New Roman" w:cs="Arial"/>
                <w:color w:val="000000"/>
                <w:sz w:val="22"/>
                <w:lang w:val="en-US" w:eastAsia="en-GB"/>
              </w:rPr>
              <w:t>eg</w:t>
            </w:r>
            <w:proofErr w:type="spellEnd"/>
            <w:proofErr w:type="gramEnd"/>
            <w:r>
              <w:rPr>
                <w:rFonts w:eastAsia="Times New Roman" w:cs="Arial"/>
                <w:color w:val="000000"/>
                <w:sz w:val="22"/>
                <w:lang w:val="en-US" w:eastAsia="en-GB"/>
              </w:rPr>
              <w:t xml:space="preserve"> over 8.5M people have osteoarthritis in the UK).</w:t>
            </w:r>
          </w:p>
        </w:tc>
        <w:tc>
          <w:tcPr>
            <w:tcW w:w="1773"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20E551F9"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Common (</w:t>
            </w:r>
            <w:proofErr w:type="spellStart"/>
            <w:proofErr w:type="gramStart"/>
            <w:r>
              <w:rPr>
                <w:rFonts w:eastAsia="Times New Roman" w:cs="Arial"/>
                <w:color w:val="000000"/>
                <w:sz w:val="22"/>
                <w:lang w:val="en-US" w:eastAsia="en-GB"/>
              </w:rPr>
              <w:t>eg</w:t>
            </w:r>
            <w:proofErr w:type="spellEnd"/>
            <w:proofErr w:type="gramEnd"/>
            <w:r>
              <w:rPr>
                <w:rFonts w:eastAsia="Times New Roman" w:cs="Arial"/>
                <w:color w:val="000000"/>
                <w:sz w:val="22"/>
                <w:lang w:val="en-US" w:eastAsia="en-GB"/>
              </w:rPr>
              <w:t xml:space="preserve"> 500,000 fragility fractures occur in the UK each year).</w:t>
            </w:r>
          </w:p>
        </w:tc>
      </w:tr>
      <w:tr w:rsidR="00F21187" w14:paraId="5172569E" w14:textId="77777777" w:rsidTr="00F21187">
        <w:trPr>
          <w:trHeight w:val="324"/>
        </w:trPr>
        <w:tc>
          <w:tcPr>
            <w:tcW w:w="198" w:type="pct"/>
            <w:tcBorders>
              <w:top w:val="nil"/>
              <w:left w:val="nil"/>
              <w:bottom w:val="single" w:sz="8" w:space="0" w:color="FFFFFF"/>
              <w:right w:val="single" w:sz="8" w:space="0" w:color="FFFFFF"/>
            </w:tcBorders>
            <w:shd w:val="clear" w:color="auto" w:fill="EAEDF1" w:themeFill="text2" w:themeFillTint="1A"/>
            <w:vAlign w:val="center"/>
            <w:hideMark/>
          </w:tcPr>
          <w:p w14:paraId="7ADD9904" w14:textId="77777777" w:rsidR="00F21187" w:rsidRDefault="00F21187">
            <w:pPr>
              <w:spacing w:after="0" w:line="240" w:lineRule="auto"/>
              <w:jc w:val="center"/>
              <w:rPr>
                <w:rFonts w:eastAsia="Times New Roman" w:cs="Arial"/>
                <w:b/>
                <w:bCs/>
                <w:color w:val="000000"/>
                <w:sz w:val="22"/>
                <w:lang w:val="en-US" w:eastAsia="en-GB"/>
              </w:rPr>
            </w:pPr>
            <w:r>
              <w:rPr>
                <w:rFonts w:eastAsia="Times New Roman" w:cs="Arial"/>
                <w:b/>
                <w:bCs/>
                <w:color w:val="000000"/>
                <w:sz w:val="22"/>
                <w:lang w:val="en-US" w:eastAsia="en-GB"/>
              </w:rPr>
              <w:t>Impact</w:t>
            </w:r>
          </w:p>
        </w:tc>
        <w:tc>
          <w:tcPr>
            <w:tcW w:w="1712"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224427FD"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Can affect any part of the body including skin, eyes, and internal organs.</w:t>
            </w:r>
          </w:p>
        </w:tc>
        <w:tc>
          <w:tcPr>
            <w:tcW w:w="1317"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2BBEE05D"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Affects the joints, spine and pain system.</w:t>
            </w:r>
          </w:p>
        </w:tc>
        <w:tc>
          <w:tcPr>
            <w:tcW w:w="1773"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54B22640"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Hip, wrist and spinal bones are the most common sites of fractures.</w:t>
            </w:r>
          </w:p>
        </w:tc>
      </w:tr>
      <w:tr w:rsidR="00F21187" w14:paraId="308551EC" w14:textId="77777777" w:rsidTr="00F21187">
        <w:trPr>
          <w:trHeight w:val="1979"/>
        </w:trPr>
        <w:tc>
          <w:tcPr>
            <w:tcW w:w="198" w:type="pct"/>
            <w:tcBorders>
              <w:top w:val="nil"/>
              <w:left w:val="nil"/>
              <w:bottom w:val="single" w:sz="8" w:space="0" w:color="FFFFFF"/>
              <w:right w:val="single" w:sz="8" w:space="0" w:color="FFFFFF"/>
            </w:tcBorders>
            <w:shd w:val="clear" w:color="auto" w:fill="EAEDF1" w:themeFill="text2" w:themeFillTint="1A"/>
            <w:vAlign w:val="center"/>
            <w:hideMark/>
          </w:tcPr>
          <w:p w14:paraId="2A71BE6C" w14:textId="77777777" w:rsidR="00F21187" w:rsidRDefault="00F21187">
            <w:pPr>
              <w:spacing w:after="0" w:line="240" w:lineRule="auto"/>
              <w:jc w:val="center"/>
              <w:rPr>
                <w:rFonts w:eastAsia="Times New Roman" w:cs="Arial"/>
                <w:b/>
                <w:bCs/>
                <w:color w:val="000000"/>
                <w:sz w:val="22"/>
                <w:lang w:val="en-US" w:eastAsia="en-GB"/>
              </w:rPr>
            </w:pPr>
            <w:r>
              <w:rPr>
                <w:rFonts w:eastAsia="Times New Roman" w:cs="Arial"/>
                <w:b/>
                <w:bCs/>
                <w:color w:val="000000"/>
                <w:sz w:val="22"/>
                <w:lang w:val="en-US" w:eastAsia="en-GB"/>
              </w:rPr>
              <w:t>Main treatment</w:t>
            </w:r>
          </w:p>
        </w:tc>
        <w:tc>
          <w:tcPr>
            <w:tcW w:w="1712"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68A2F299"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 xml:space="preserve">Treated by </w:t>
            </w:r>
            <w:proofErr w:type="spellStart"/>
            <w:r>
              <w:rPr>
                <w:rFonts w:eastAsia="Times New Roman" w:cs="Arial"/>
                <w:color w:val="000000"/>
                <w:sz w:val="22"/>
                <w:lang w:val="en-US" w:eastAsia="en-GB"/>
              </w:rPr>
              <w:t>supressing</w:t>
            </w:r>
            <w:proofErr w:type="spellEnd"/>
            <w:r>
              <w:rPr>
                <w:rFonts w:eastAsia="Times New Roman" w:cs="Arial"/>
                <w:color w:val="000000"/>
                <w:sz w:val="22"/>
                <w:lang w:val="en-US" w:eastAsia="en-GB"/>
              </w:rPr>
              <w:t xml:space="preserve"> the immune system.</w:t>
            </w:r>
          </w:p>
        </w:tc>
        <w:tc>
          <w:tcPr>
            <w:tcW w:w="1317"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4E41CEB8"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 xml:space="preserve">Typically, non-drug-based treatments </w:t>
            </w:r>
            <w:proofErr w:type="spellStart"/>
            <w:proofErr w:type="gramStart"/>
            <w:r>
              <w:rPr>
                <w:rFonts w:eastAsia="Times New Roman" w:cs="Arial"/>
                <w:color w:val="000000"/>
                <w:sz w:val="22"/>
                <w:lang w:val="en-US" w:eastAsia="en-GB"/>
              </w:rPr>
              <w:t>eg</w:t>
            </w:r>
            <w:proofErr w:type="spellEnd"/>
            <w:proofErr w:type="gramEnd"/>
            <w:r>
              <w:rPr>
                <w:rFonts w:eastAsia="Times New Roman" w:cs="Arial"/>
                <w:color w:val="000000"/>
                <w:sz w:val="22"/>
                <w:lang w:val="en-US" w:eastAsia="en-GB"/>
              </w:rPr>
              <w:t xml:space="preserve"> physical activity, weight management and in severe cases joint replacement.</w:t>
            </w:r>
          </w:p>
        </w:tc>
        <w:tc>
          <w:tcPr>
            <w:tcW w:w="1773"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4DA43B57"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Medication to strengthen bones, falls prevention and fracture treatment.</w:t>
            </w:r>
          </w:p>
        </w:tc>
      </w:tr>
      <w:tr w:rsidR="00F21187" w14:paraId="32052C33" w14:textId="77777777" w:rsidTr="00F21187">
        <w:trPr>
          <w:trHeight w:val="1200"/>
        </w:trPr>
        <w:tc>
          <w:tcPr>
            <w:tcW w:w="198" w:type="pct"/>
            <w:tcBorders>
              <w:top w:val="nil"/>
              <w:left w:val="nil"/>
              <w:bottom w:val="single" w:sz="8" w:space="0" w:color="FFFFFF"/>
              <w:right w:val="single" w:sz="8" w:space="0" w:color="FFFFFF"/>
            </w:tcBorders>
            <w:shd w:val="clear" w:color="auto" w:fill="EAEDF1" w:themeFill="text2" w:themeFillTint="1A"/>
            <w:vAlign w:val="center"/>
            <w:hideMark/>
          </w:tcPr>
          <w:p w14:paraId="05A491FF" w14:textId="77777777" w:rsidR="00F21187" w:rsidRDefault="00F21187">
            <w:pPr>
              <w:spacing w:after="0" w:line="240" w:lineRule="auto"/>
              <w:jc w:val="center"/>
              <w:rPr>
                <w:rFonts w:eastAsia="Times New Roman" w:cs="Arial"/>
                <w:b/>
                <w:bCs/>
                <w:color w:val="000000"/>
                <w:sz w:val="22"/>
                <w:lang w:val="en-US" w:eastAsia="en-GB"/>
              </w:rPr>
            </w:pPr>
            <w:r>
              <w:rPr>
                <w:rFonts w:eastAsia="Times New Roman" w:cs="Arial"/>
                <w:b/>
                <w:bCs/>
                <w:color w:val="000000"/>
                <w:sz w:val="22"/>
                <w:lang w:val="en-US" w:eastAsia="en-GB"/>
              </w:rPr>
              <w:t>Treatment location</w:t>
            </w:r>
          </w:p>
        </w:tc>
        <w:tc>
          <w:tcPr>
            <w:tcW w:w="1712"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15818D26"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Urgent specialist treatment needed usually provided in hospital outpatient departments.</w:t>
            </w:r>
          </w:p>
        </w:tc>
        <w:tc>
          <w:tcPr>
            <w:tcW w:w="1317"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2610B669"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 xml:space="preserve">Treatment based in primary care. </w:t>
            </w:r>
          </w:p>
        </w:tc>
        <w:tc>
          <w:tcPr>
            <w:tcW w:w="1773"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6A32982F"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Prevention is based in primary and ambulatory care; fractures may re</w:t>
            </w:r>
          </w:p>
        </w:tc>
      </w:tr>
      <w:tr w:rsidR="00F21187" w14:paraId="2FDCE28D" w14:textId="77777777" w:rsidTr="00F21187">
        <w:trPr>
          <w:trHeight w:val="804"/>
        </w:trPr>
        <w:tc>
          <w:tcPr>
            <w:tcW w:w="198" w:type="pct"/>
            <w:tcBorders>
              <w:top w:val="nil"/>
              <w:left w:val="nil"/>
              <w:bottom w:val="single" w:sz="8" w:space="0" w:color="FFFFFF"/>
              <w:right w:val="single" w:sz="8" w:space="0" w:color="FFFFFF"/>
            </w:tcBorders>
            <w:shd w:val="clear" w:color="auto" w:fill="EAEDF1" w:themeFill="text2" w:themeFillTint="1A"/>
            <w:vAlign w:val="center"/>
            <w:hideMark/>
          </w:tcPr>
          <w:p w14:paraId="0B7D744D" w14:textId="77777777" w:rsidR="00F21187" w:rsidRDefault="00F21187">
            <w:pPr>
              <w:spacing w:after="0" w:line="240" w:lineRule="auto"/>
              <w:jc w:val="center"/>
              <w:rPr>
                <w:rFonts w:eastAsia="Times New Roman" w:cs="Arial"/>
                <w:b/>
                <w:bCs/>
                <w:color w:val="000000"/>
                <w:sz w:val="22"/>
                <w:lang w:val="en-US" w:eastAsia="en-GB"/>
              </w:rPr>
            </w:pPr>
            <w:r>
              <w:rPr>
                <w:rFonts w:eastAsia="Times New Roman" w:cs="Arial"/>
                <w:b/>
                <w:bCs/>
                <w:color w:val="000000"/>
                <w:sz w:val="22"/>
                <w:lang w:val="en-US" w:eastAsia="en-GB"/>
              </w:rPr>
              <w:t>Risk factors</w:t>
            </w:r>
          </w:p>
        </w:tc>
        <w:tc>
          <w:tcPr>
            <w:tcW w:w="1712"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66E3644B"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Genetic factors, sex, smoking, obesity and diet.</w:t>
            </w:r>
          </w:p>
        </w:tc>
        <w:tc>
          <w:tcPr>
            <w:tcW w:w="1317"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3C8B8589"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Age (late 40s onwards), sex, genetic factors, physical injury, obesity and previous joint illness or injury.</w:t>
            </w:r>
          </w:p>
        </w:tc>
        <w:tc>
          <w:tcPr>
            <w:tcW w:w="1773" w:type="pct"/>
            <w:tcBorders>
              <w:top w:val="single" w:sz="8" w:space="0" w:color="FFFFFF"/>
              <w:left w:val="nil"/>
              <w:bottom w:val="single" w:sz="8" w:space="0" w:color="FFFFFF"/>
              <w:right w:val="single" w:sz="8" w:space="0" w:color="FFFFFF"/>
            </w:tcBorders>
            <w:shd w:val="clear" w:color="auto" w:fill="EAEDF1" w:themeFill="text2" w:themeFillTint="1A"/>
            <w:vAlign w:val="center"/>
            <w:hideMark/>
          </w:tcPr>
          <w:p w14:paraId="4F8EAF03" w14:textId="77777777" w:rsidR="00F21187" w:rsidRDefault="00F21187">
            <w:pPr>
              <w:spacing w:after="0" w:line="240" w:lineRule="auto"/>
              <w:jc w:val="center"/>
              <w:rPr>
                <w:rFonts w:eastAsia="Times New Roman" w:cs="Arial"/>
                <w:color w:val="000000"/>
                <w:sz w:val="22"/>
                <w:lang w:val="en-US" w:eastAsia="en-GB"/>
              </w:rPr>
            </w:pPr>
            <w:r>
              <w:rPr>
                <w:rFonts w:eastAsia="Times New Roman" w:cs="Arial"/>
                <w:color w:val="000000"/>
                <w:sz w:val="22"/>
                <w:lang w:val="en-US" w:eastAsia="en-GB"/>
              </w:rPr>
              <w:t>Age, genetic factors, smoking, alcohol, inflammatory disorders, poor nutrition and low physical activity.</w:t>
            </w:r>
          </w:p>
        </w:tc>
      </w:tr>
    </w:tbl>
    <w:p w14:paraId="47EC1A9B" w14:textId="77777777" w:rsidR="00F21187" w:rsidRDefault="00F21187" w:rsidP="00F21187"/>
    <w:p w14:paraId="47C58EEA" w14:textId="77777777" w:rsidR="00F21187" w:rsidRDefault="00F21187" w:rsidP="00F21187"/>
    <w:p w14:paraId="01088259" w14:textId="77777777" w:rsidR="00F21187" w:rsidRDefault="00F21187" w:rsidP="00F21187"/>
    <w:p w14:paraId="3E7D53EB" w14:textId="77777777" w:rsidR="00F21187" w:rsidRDefault="00F21187" w:rsidP="00F21187">
      <w:pPr>
        <w:pStyle w:val="Heading1"/>
        <w:rPr>
          <w:rFonts w:eastAsiaTheme="minorEastAsia"/>
        </w:rPr>
      </w:pPr>
      <w:bookmarkStart w:id="8" w:name="_Toc85547749"/>
      <w:r>
        <w:rPr>
          <w:rFonts w:eastAsiaTheme="minorEastAsia"/>
        </w:rPr>
        <w:lastRenderedPageBreak/>
        <w:t>04 How common are they?</w:t>
      </w:r>
      <w:bookmarkEnd w:id="8"/>
    </w:p>
    <w:p w14:paraId="69093211" w14:textId="77777777" w:rsidR="00F21187" w:rsidRDefault="00F21187" w:rsidP="00F21187">
      <w:pPr>
        <w:rPr>
          <w:vertAlign w:val="superscript"/>
        </w:rPr>
      </w:pPr>
      <w:r>
        <w:rPr>
          <w:b/>
          <w:bCs/>
        </w:rPr>
        <w:t>20.3 million</w:t>
      </w:r>
      <w:r>
        <w:t xml:space="preserve"> people have a musculoskeletal (MSK) condition such as arthritis or back pain in the UK. Almost one third (32%) of the population.</w:t>
      </w:r>
      <w:r>
        <w:rPr>
          <w:vertAlign w:val="superscript"/>
        </w:rPr>
        <w:t>1</w:t>
      </w:r>
    </w:p>
    <w:p w14:paraId="20D2975C" w14:textId="77777777" w:rsidR="00F21187" w:rsidRDefault="00F21187" w:rsidP="00F21187">
      <w:pPr>
        <w:pStyle w:val="ListParagraph"/>
        <w:numPr>
          <w:ilvl w:val="0"/>
          <w:numId w:val="6"/>
        </w:numPr>
      </w:pPr>
      <w:r>
        <w:t>17.1 million people (32%) have a MSK condition in England.</w:t>
      </w:r>
      <w:r>
        <w:rPr>
          <w:vertAlign w:val="superscript"/>
        </w:rPr>
        <w:t>1</w:t>
      </w:r>
    </w:p>
    <w:p w14:paraId="4A056E73" w14:textId="77777777" w:rsidR="00F21187" w:rsidRDefault="00F21187" w:rsidP="00F21187">
      <w:pPr>
        <w:pStyle w:val="ListParagraph"/>
        <w:numPr>
          <w:ilvl w:val="0"/>
          <w:numId w:val="6"/>
        </w:numPr>
      </w:pPr>
      <w:r>
        <w:t>1.7 million people (33%) have a MSK condition in Scotland.</w:t>
      </w:r>
      <w:r>
        <w:rPr>
          <w:vertAlign w:val="superscript"/>
        </w:rPr>
        <w:t>1</w:t>
      </w:r>
    </w:p>
    <w:p w14:paraId="4D6B1D4D" w14:textId="77777777" w:rsidR="00F21187" w:rsidRDefault="00F21187" w:rsidP="00F21187">
      <w:pPr>
        <w:pStyle w:val="ListParagraph"/>
        <w:numPr>
          <w:ilvl w:val="0"/>
          <w:numId w:val="6"/>
        </w:numPr>
      </w:pPr>
      <w:r>
        <w:t>974,000 people (32%) have a MSK condition in Wales.</w:t>
      </w:r>
      <w:r>
        <w:rPr>
          <w:vertAlign w:val="superscript"/>
        </w:rPr>
        <w:t>1</w:t>
      </w:r>
    </w:p>
    <w:p w14:paraId="214FDF8D" w14:textId="77777777" w:rsidR="00F21187" w:rsidRDefault="00F21187" w:rsidP="00F21187">
      <w:pPr>
        <w:pStyle w:val="ListParagraph"/>
        <w:numPr>
          <w:ilvl w:val="0"/>
          <w:numId w:val="6"/>
        </w:numPr>
      </w:pPr>
      <w:r>
        <w:t>525,000 people (29%) have a MSK condition in Northern Ireland.</w:t>
      </w:r>
      <w:r>
        <w:rPr>
          <w:vertAlign w:val="superscript"/>
        </w:rPr>
        <w:t>1</w:t>
      </w:r>
      <w:r>
        <w:t xml:space="preserve"> </w:t>
      </w:r>
    </w:p>
    <w:p w14:paraId="103FF021" w14:textId="77777777" w:rsidR="00F21187" w:rsidRDefault="00F21187" w:rsidP="00F21187">
      <w:r>
        <w:t xml:space="preserve">MSK conditions are more common among women. </w:t>
      </w:r>
    </w:p>
    <w:p w14:paraId="7FEBD589" w14:textId="77777777" w:rsidR="00F21187" w:rsidRDefault="00F21187" w:rsidP="00F21187">
      <w:pPr>
        <w:rPr>
          <w:vertAlign w:val="superscript"/>
        </w:rPr>
      </w:pPr>
      <w:r>
        <w:t>11.6 million women have a MSK condition (35% of women have a MSK condition).</w:t>
      </w:r>
      <w:r>
        <w:rPr>
          <w:vertAlign w:val="superscript"/>
        </w:rPr>
        <w:t>1</w:t>
      </w:r>
    </w:p>
    <w:p w14:paraId="156BE7C7" w14:textId="77777777" w:rsidR="00F21187" w:rsidRDefault="00F21187" w:rsidP="00F21187">
      <w:pPr>
        <w:rPr>
          <w:vertAlign w:val="superscript"/>
        </w:rPr>
      </w:pPr>
      <w:r>
        <w:t>8.7 million men have a MSK condition (38% of men have a MSK condition).</w:t>
      </w:r>
      <w:r>
        <w:rPr>
          <w:vertAlign w:val="superscript"/>
        </w:rPr>
        <w:t>1</w:t>
      </w:r>
    </w:p>
    <w:p w14:paraId="67A76C45" w14:textId="77777777" w:rsidR="00F21187" w:rsidRDefault="00F21187" w:rsidP="00F21187">
      <w:r>
        <w:t xml:space="preserve">MSK conditions affect people of all ages but become more common with increasing age. </w:t>
      </w:r>
    </w:p>
    <w:p w14:paraId="1CF18F00" w14:textId="77777777" w:rsidR="00F21187" w:rsidRDefault="00F21187" w:rsidP="00F21187">
      <w:r>
        <w:t>2.8 million people aged under 35 years (11%) live with a MSK condition.</w:t>
      </w:r>
      <w:r>
        <w:rPr>
          <w:vertAlign w:val="superscript"/>
        </w:rPr>
        <w:t xml:space="preserve"> 1</w:t>
      </w:r>
      <w:r>
        <w:t xml:space="preserve"> </w:t>
      </w:r>
    </w:p>
    <w:p w14:paraId="7A07B71B" w14:textId="77777777" w:rsidR="00F21187" w:rsidRDefault="00F21187" w:rsidP="00F21187">
      <w:r>
        <w:t>10.2 million people aged 35-64 years (40%) live with a MSK condition.</w:t>
      </w:r>
      <w:r>
        <w:rPr>
          <w:vertAlign w:val="superscript"/>
        </w:rPr>
        <w:t xml:space="preserve"> 1</w:t>
      </w:r>
    </w:p>
    <w:p w14:paraId="15088B49" w14:textId="77777777" w:rsidR="00F21187" w:rsidRDefault="00F21187" w:rsidP="00F21187">
      <w:pPr>
        <w:rPr>
          <w:vertAlign w:val="superscript"/>
        </w:rPr>
      </w:pPr>
      <w:r>
        <w:t>7.4 million people aged 65 and over (61%) live with a MSK condition.</w:t>
      </w:r>
      <w:r>
        <w:rPr>
          <w:vertAlign w:val="superscript"/>
        </w:rPr>
        <w:t>1</w:t>
      </w:r>
    </w:p>
    <w:p w14:paraId="03D42865" w14:textId="77777777" w:rsidR="00F21187" w:rsidRDefault="00F21187" w:rsidP="00F21187">
      <w:pPr>
        <w:pStyle w:val="Heading2"/>
        <w:rPr>
          <w:rFonts w:eastAsiaTheme="minorEastAsia"/>
        </w:rPr>
      </w:pPr>
      <w:bookmarkStart w:id="9" w:name="_Toc85547750"/>
      <w:r>
        <w:rPr>
          <w:rFonts w:eastAsiaTheme="minorEastAsia"/>
        </w:rPr>
        <w:t>Long-term MSK conditions</w:t>
      </w:r>
      <w:bookmarkEnd w:id="9"/>
    </w:p>
    <w:p w14:paraId="7D1E58FE" w14:textId="77777777" w:rsidR="00F21187" w:rsidRDefault="00F21187" w:rsidP="00F21187">
      <w:r>
        <w:t xml:space="preserve">National health survey data indicates that almost </w:t>
      </w:r>
      <w:r>
        <w:rPr>
          <w:b/>
          <w:bCs/>
        </w:rPr>
        <w:t>2 in every 10 people</w:t>
      </w:r>
      <w:r>
        <w:t xml:space="preserve"> aged 16 and over in the UK report having a long-term</w:t>
      </w:r>
      <w:r>
        <w:rPr>
          <w:rStyle w:val="FootnoteReference"/>
        </w:rPr>
        <w:footnoteReference w:id="1"/>
      </w:r>
      <w:r>
        <w:t xml:space="preserve"> MSK condition (one that has lasted or is expected to last a year or more).</w:t>
      </w:r>
      <w:r>
        <w:rPr>
          <w:vertAlign w:val="superscript"/>
        </w:rPr>
        <w:t xml:space="preserve"> 3,4,5</w:t>
      </w:r>
    </w:p>
    <w:p w14:paraId="10491238" w14:textId="77777777" w:rsidR="00F21187" w:rsidRDefault="00F21187" w:rsidP="00F21187">
      <w:pPr>
        <w:pStyle w:val="ListParagraph"/>
        <w:numPr>
          <w:ilvl w:val="0"/>
          <w:numId w:val="8"/>
        </w:numPr>
      </w:pPr>
      <w:r>
        <w:t>8.5 million people (19%) report having a long-term MSK condition in England</w:t>
      </w:r>
      <w:r>
        <w:rPr>
          <w:color w:val="auto"/>
        </w:rPr>
        <w:t>.</w:t>
      </w:r>
      <w:r>
        <w:rPr>
          <w:rStyle w:val="EndnoteReference"/>
          <w:color w:val="auto"/>
        </w:rPr>
        <w:endnoteReference w:id="3"/>
      </w:r>
      <w:r>
        <w:rPr>
          <w:color w:val="auto"/>
        </w:rPr>
        <w:t xml:space="preserve"> </w:t>
      </w:r>
    </w:p>
    <w:p w14:paraId="5E4CB141" w14:textId="77777777" w:rsidR="00F21187" w:rsidRDefault="00F21187" w:rsidP="00F21187">
      <w:pPr>
        <w:pStyle w:val="ListParagraph"/>
        <w:numPr>
          <w:ilvl w:val="1"/>
          <w:numId w:val="8"/>
        </w:numPr>
      </w:pPr>
      <w:r>
        <w:t>3.6 million men (16% of men)</w:t>
      </w:r>
    </w:p>
    <w:p w14:paraId="3F38EC52" w14:textId="77777777" w:rsidR="00F21187" w:rsidRDefault="00F21187" w:rsidP="00F21187">
      <w:pPr>
        <w:pStyle w:val="ListParagraph"/>
        <w:numPr>
          <w:ilvl w:val="1"/>
          <w:numId w:val="8"/>
        </w:numPr>
      </w:pPr>
      <w:r>
        <w:t>4.9 million women (21% of women)</w:t>
      </w:r>
    </w:p>
    <w:p w14:paraId="05CEDA3D" w14:textId="77777777" w:rsidR="00F21187" w:rsidRDefault="00F21187" w:rsidP="00F21187">
      <w:pPr>
        <w:pStyle w:val="ListParagraph"/>
        <w:numPr>
          <w:ilvl w:val="0"/>
          <w:numId w:val="8"/>
        </w:numPr>
      </w:pPr>
      <w:r>
        <w:t xml:space="preserve">73,000 people (16%) report having a long-term MSK condition in </w:t>
      </w:r>
      <w:r>
        <w:rPr>
          <w:color w:val="auto"/>
        </w:rPr>
        <w:t>Scotland.</w:t>
      </w:r>
      <w:r>
        <w:rPr>
          <w:rStyle w:val="EndnoteReference"/>
          <w:noProof/>
          <w:color w:val="auto"/>
        </w:rPr>
        <w:endnoteReference w:id="4"/>
      </w:r>
      <w:r>
        <w:rPr>
          <w:color w:val="auto"/>
        </w:rPr>
        <w:t xml:space="preserve">      </w:t>
      </w:r>
    </w:p>
    <w:p w14:paraId="6B96FE78" w14:textId="77777777" w:rsidR="00F21187" w:rsidRDefault="00F21187" w:rsidP="00F21187">
      <w:pPr>
        <w:pStyle w:val="ListParagraph"/>
        <w:numPr>
          <w:ilvl w:val="1"/>
          <w:numId w:val="8"/>
        </w:numPr>
      </w:pPr>
      <w:r>
        <w:t>307,000 men (14% of men)</w:t>
      </w:r>
    </w:p>
    <w:p w14:paraId="1AAD3729" w14:textId="77777777" w:rsidR="00F21187" w:rsidRDefault="00F21187" w:rsidP="00F21187">
      <w:pPr>
        <w:pStyle w:val="ListParagraph"/>
        <w:numPr>
          <w:ilvl w:val="1"/>
          <w:numId w:val="8"/>
        </w:numPr>
        <w:rPr>
          <w:color w:val="auto"/>
        </w:rPr>
      </w:pPr>
      <w:r>
        <w:t xml:space="preserve">423,000 women (18% of women)           </w:t>
      </w:r>
    </w:p>
    <w:p w14:paraId="0229D339" w14:textId="77777777" w:rsidR="00F21187" w:rsidRDefault="00F21187" w:rsidP="00F21187">
      <w:pPr>
        <w:pStyle w:val="ListParagraph"/>
        <w:numPr>
          <w:ilvl w:val="0"/>
          <w:numId w:val="8"/>
        </w:numPr>
        <w:rPr>
          <w:color w:val="auto"/>
        </w:rPr>
      </w:pPr>
      <w:r>
        <w:rPr>
          <w:color w:val="auto"/>
        </w:rPr>
        <w:t>190,000 people (17%) report having a long-term MSK condition in Wales.</w:t>
      </w:r>
      <w:r>
        <w:rPr>
          <w:rStyle w:val="EndnoteReference"/>
          <w:noProof/>
          <w:color w:val="auto"/>
        </w:rPr>
        <w:endnoteReference w:id="5"/>
      </w:r>
      <w:r>
        <w:rPr>
          <w:color w:val="auto"/>
        </w:rPr>
        <w:t xml:space="preserve"> </w:t>
      </w:r>
    </w:p>
    <w:p w14:paraId="1998F572" w14:textId="77777777" w:rsidR="00F21187" w:rsidRDefault="00F21187" w:rsidP="00F21187">
      <w:pPr>
        <w:pStyle w:val="ListParagraph"/>
        <w:numPr>
          <w:ilvl w:val="1"/>
          <w:numId w:val="8"/>
        </w:numPr>
      </w:pPr>
      <w:r>
        <w:t>190,000 men (15% of men)</w:t>
      </w:r>
    </w:p>
    <w:p w14:paraId="1C0CD1B0" w14:textId="77777777" w:rsidR="00F21187" w:rsidRDefault="00F21187" w:rsidP="00F21187">
      <w:pPr>
        <w:pStyle w:val="ListParagraph"/>
        <w:numPr>
          <w:ilvl w:val="1"/>
          <w:numId w:val="8"/>
        </w:numPr>
      </w:pPr>
      <w:r>
        <w:t xml:space="preserve">238,000 women (18% of women)                </w:t>
      </w:r>
    </w:p>
    <w:p w14:paraId="32D50B0E" w14:textId="77777777" w:rsidR="00F21187" w:rsidRDefault="00F21187" w:rsidP="00F21187">
      <w:pPr>
        <w:pStyle w:val="ListParagraph"/>
        <w:numPr>
          <w:ilvl w:val="0"/>
          <w:numId w:val="8"/>
        </w:numPr>
      </w:pPr>
      <w:r>
        <w:t xml:space="preserve">270,000 people (18%) report having a long-term MSK condition in Northern Ireland. </w:t>
      </w:r>
    </w:p>
    <w:p w14:paraId="3215E1D1" w14:textId="77777777" w:rsidR="00F21187" w:rsidRDefault="00F21187" w:rsidP="00F21187">
      <w:pPr>
        <w:rPr>
          <w:sz w:val="20"/>
          <w:szCs w:val="20"/>
        </w:rPr>
      </w:pPr>
      <w:r>
        <w:rPr>
          <w:sz w:val="20"/>
          <w:szCs w:val="20"/>
        </w:rPr>
        <w:t>Data notes:</w:t>
      </w:r>
    </w:p>
    <w:p w14:paraId="0C84DE94" w14:textId="77777777" w:rsidR="00F21187" w:rsidRDefault="00F21187" w:rsidP="00F21187">
      <w:pPr>
        <w:spacing w:after="0"/>
        <w:rPr>
          <w:sz w:val="20"/>
          <w:szCs w:val="20"/>
        </w:rPr>
      </w:pPr>
      <w:r>
        <w:rPr>
          <w:sz w:val="20"/>
          <w:szCs w:val="20"/>
        </w:rPr>
        <w:t>Equivalent data is not available in the Health Survey Northern Ireland. This estimate is based on the weighted nation average of 18%.</w:t>
      </w:r>
    </w:p>
    <w:p w14:paraId="605B8A76" w14:textId="77777777" w:rsidR="00F21187" w:rsidRDefault="00F21187" w:rsidP="00F21187">
      <w:pPr>
        <w:spacing w:after="0"/>
        <w:rPr>
          <w:sz w:val="20"/>
          <w:szCs w:val="20"/>
        </w:rPr>
      </w:pPr>
      <w:r>
        <w:rPr>
          <w:sz w:val="20"/>
        </w:rPr>
        <w:t>Estimates are based on mid-2019 population estimates.</w:t>
      </w:r>
    </w:p>
    <w:p w14:paraId="32DBC1A3" w14:textId="77777777" w:rsidR="00F21187" w:rsidRDefault="00F21187" w:rsidP="00F21187">
      <w:pPr>
        <w:spacing w:after="0"/>
        <w:rPr>
          <w:sz w:val="20"/>
          <w:szCs w:val="20"/>
        </w:rPr>
      </w:pPr>
      <w:r>
        <w:rPr>
          <w:sz w:val="20"/>
        </w:rPr>
        <w:t xml:space="preserve">Caution should be taken when making comparisons by nation. Survey methodology and data weighting/age-standardisation techniques will vary.   </w:t>
      </w:r>
    </w:p>
    <w:p w14:paraId="33A04BDA" w14:textId="77777777" w:rsidR="00F21187" w:rsidRDefault="00F21187" w:rsidP="00F21187">
      <w:pPr>
        <w:rPr>
          <w:sz w:val="20"/>
          <w:szCs w:val="20"/>
        </w:rPr>
      </w:pPr>
    </w:p>
    <w:p w14:paraId="278AC888" w14:textId="77777777" w:rsidR="00F21187" w:rsidRDefault="00F21187" w:rsidP="00F21187"/>
    <w:p w14:paraId="123BD72F" w14:textId="77777777" w:rsidR="00F21187" w:rsidRDefault="00F21187" w:rsidP="00F21187"/>
    <w:p w14:paraId="1CBAEE62" w14:textId="77777777" w:rsidR="00F21187" w:rsidRDefault="00F21187" w:rsidP="00F21187"/>
    <w:p w14:paraId="4A57E3F1" w14:textId="77777777" w:rsidR="00F21187" w:rsidRDefault="00F21187" w:rsidP="00F21187"/>
    <w:p w14:paraId="28D07330" w14:textId="77777777" w:rsidR="00F21187" w:rsidRDefault="00F21187" w:rsidP="00F21187">
      <w:pPr>
        <w:pStyle w:val="Heading2"/>
        <w:rPr>
          <w:rFonts w:eastAsiaTheme="minorEastAsia"/>
        </w:rPr>
      </w:pPr>
      <w:bookmarkStart w:id="10" w:name="_Toc85547751"/>
      <w:r>
        <w:rPr>
          <w:rFonts w:eastAsiaTheme="minorEastAsia"/>
        </w:rPr>
        <w:lastRenderedPageBreak/>
        <w:t>Children and long-term conditions</w:t>
      </w:r>
      <w:bookmarkEnd w:id="10"/>
    </w:p>
    <w:p w14:paraId="5FDFBBB9" w14:textId="77777777" w:rsidR="00F21187" w:rsidRDefault="00F21187" w:rsidP="00F21187">
      <w:pPr>
        <w:shd w:val="clear" w:color="auto" w:fill="FFFFFF" w:themeFill="background1"/>
      </w:pPr>
      <w:r>
        <w:t>Two in 100 children (2%) aged under 16 years report having a long-</w:t>
      </w:r>
      <w:proofErr w:type="spellStart"/>
      <w:r>
        <w:t>term</w:t>
      </w:r>
      <w:r>
        <w:rPr>
          <w:vertAlign w:val="superscript"/>
        </w:rPr>
        <w:t>i</w:t>
      </w:r>
      <w:proofErr w:type="spellEnd"/>
      <w:r>
        <w:t xml:space="preserve"> MSK condition in England and Scotland.  </w:t>
      </w:r>
    </w:p>
    <w:p w14:paraId="25318665" w14:textId="77777777" w:rsidR="00F21187" w:rsidRDefault="00F21187" w:rsidP="00F21187">
      <w:pPr>
        <w:pStyle w:val="ListParagraph"/>
        <w:numPr>
          <w:ilvl w:val="0"/>
          <w:numId w:val="10"/>
        </w:numPr>
      </w:pPr>
      <w:r>
        <w:t>216,344 children (2%) report having a long-term MSK condition in Engla</w:t>
      </w:r>
      <w:r>
        <w:rPr>
          <w:color w:val="auto"/>
        </w:rPr>
        <w:t>nd.</w:t>
      </w:r>
      <w:r>
        <w:rPr>
          <w:rStyle w:val="EndnoteReference"/>
          <w:noProof/>
          <w:color w:val="auto"/>
        </w:rPr>
        <w:endnoteReference w:id="6"/>
      </w:r>
    </w:p>
    <w:p w14:paraId="77FD9087" w14:textId="77777777" w:rsidR="00F21187" w:rsidRDefault="00F21187" w:rsidP="00F21187">
      <w:pPr>
        <w:pStyle w:val="ListParagraph"/>
        <w:numPr>
          <w:ilvl w:val="0"/>
          <w:numId w:val="10"/>
        </w:numPr>
      </w:pPr>
      <w:r>
        <w:t xml:space="preserve">18,427 children (2%) report having a long-term MSK condition in Scotland.       </w:t>
      </w:r>
    </w:p>
    <w:p w14:paraId="559E81F4" w14:textId="77777777" w:rsidR="00F21187" w:rsidRDefault="00F21187" w:rsidP="00F21187">
      <w:pPr>
        <w:pStyle w:val="Heading2"/>
        <w:rPr>
          <w:rFonts w:eastAsiaTheme="minorEastAsia"/>
        </w:rPr>
      </w:pPr>
      <w:bookmarkStart w:id="11" w:name="_Toc85547752"/>
      <w:r>
        <w:rPr>
          <w:rFonts w:eastAsiaTheme="minorEastAsia"/>
        </w:rPr>
        <w:t>Condition specific estimates</w:t>
      </w:r>
      <w:bookmarkEnd w:id="11"/>
    </w:p>
    <w:p w14:paraId="3CEC51AC" w14:textId="77777777" w:rsidR="00F21187" w:rsidRDefault="00F21187" w:rsidP="00F21187">
      <w:r>
        <w:t>Inflammatory conditions</w:t>
      </w:r>
    </w:p>
    <w:p w14:paraId="5105F9C4" w14:textId="77777777" w:rsidR="00F21187" w:rsidRDefault="00F21187" w:rsidP="00F21187">
      <w:pPr>
        <w:pStyle w:val="ListParagraph"/>
        <w:numPr>
          <w:ilvl w:val="0"/>
          <w:numId w:val="12"/>
        </w:numPr>
        <w:rPr>
          <w:rFonts w:cstheme="minorHAnsi"/>
          <w:szCs w:val="24"/>
          <w:vertAlign w:val="superscript"/>
        </w:rPr>
      </w:pPr>
      <w:r>
        <w:rPr>
          <w:rFonts w:cstheme="minorHAnsi"/>
          <w:szCs w:val="24"/>
        </w:rPr>
        <w:t xml:space="preserve">Over 430,000 people have </w:t>
      </w:r>
      <w:hyperlink r:id="rId38" w:history="1">
        <w:r>
          <w:rPr>
            <w:rStyle w:val="Hyperlink"/>
            <w:rFonts w:cstheme="minorHAnsi"/>
            <w:szCs w:val="24"/>
          </w:rPr>
          <w:t>rheumatoid arthritis</w:t>
        </w:r>
      </w:hyperlink>
      <w:r>
        <w:rPr>
          <w:rFonts w:cstheme="minorHAnsi"/>
          <w:szCs w:val="24"/>
        </w:rPr>
        <w:t xml:space="preserve"> in the UK.</w:t>
      </w:r>
      <w:r>
        <w:rPr>
          <w:rStyle w:val="EndnoteReference"/>
          <w:rFonts w:cstheme="minorHAnsi"/>
          <w:szCs w:val="24"/>
        </w:rPr>
        <w:endnoteReference w:id="7"/>
      </w:r>
      <w:r>
        <w:rPr>
          <w:rFonts w:cstheme="minorHAnsi"/>
          <w:szCs w:val="24"/>
          <w:vertAlign w:val="superscript"/>
        </w:rPr>
        <w:t xml:space="preserve">, </w:t>
      </w:r>
      <w:r>
        <w:rPr>
          <w:rStyle w:val="EndnoteReference"/>
          <w:rFonts w:cstheme="minorHAnsi"/>
          <w:szCs w:val="24"/>
        </w:rPr>
        <w:endnoteReference w:id="8"/>
      </w:r>
    </w:p>
    <w:p w14:paraId="6D4BBC93" w14:textId="77777777" w:rsidR="00F21187" w:rsidRDefault="00F21187" w:rsidP="00F21187">
      <w:pPr>
        <w:pStyle w:val="ListParagraph"/>
        <w:numPr>
          <w:ilvl w:val="0"/>
          <w:numId w:val="12"/>
        </w:numPr>
        <w:rPr>
          <w:rFonts w:cstheme="minorHAnsi"/>
          <w:szCs w:val="24"/>
          <w:vertAlign w:val="superscript"/>
        </w:rPr>
      </w:pPr>
      <w:r>
        <w:rPr>
          <w:rFonts w:cstheme="minorHAnsi"/>
          <w:szCs w:val="24"/>
        </w:rPr>
        <w:t xml:space="preserve">Around 12,000 children have </w:t>
      </w:r>
      <w:hyperlink r:id="rId39" w:history="1">
        <w:r>
          <w:rPr>
            <w:rStyle w:val="Hyperlink"/>
            <w:rFonts w:cstheme="minorHAnsi"/>
            <w:szCs w:val="24"/>
          </w:rPr>
          <w:t>juvenile idiopathic arthritis</w:t>
        </w:r>
      </w:hyperlink>
      <w:r>
        <w:rPr>
          <w:rStyle w:val="Hyperlink"/>
          <w:rFonts w:cstheme="minorHAnsi"/>
          <w:szCs w:val="24"/>
        </w:rPr>
        <w:t xml:space="preserve"> </w:t>
      </w:r>
      <w:r>
        <w:rPr>
          <w:rFonts w:cstheme="minorHAnsi"/>
          <w:szCs w:val="24"/>
        </w:rPr>
        <w:t>in the UK.</w:t>
      </w:r>
      <w:r>
        <w:rPr>
          <w:rStyle w:val="EndnoteReference"/>
          <w:rFonts w:cstheme="minorHAnsi"/>
          <w:szCs w:val="24"/>
        </w:rPr>
        <w:endnoteReference w:id="9"/>
      </w:r>
    </w:p>
    <w:p w14:paraId="0D8E5495" w14:textId="77777777" w:rsidR="00F21187" w:rsidRDefault="00F21187" w:rsidP="00F21187">
      <w:pPr>
        <w:pStyle w:val="ListParagraph"/>
        <w:numPr>
          <w:ilvl w:val="0"/>
          <w:numId w:val="12"/>
        </w:numPr>
        <w:rPr>
          <w:rFonts w:cstheme="minorHAnsi"/>
          <w:szCs w:val="24"/>
          <w:vertAlign w:val="superscript"/>
        </w:rPr>
      </w:pPr>
      <w:r>
        <w:rPr>
          <w:rFonts w:cstheme="minorHAnsi"/>
          <w:szCs w:val="24"/>
        </w:rPr>
        <w:t xml:space="preserve">220,000 people have </w:t>
      </w:r>
      <w:hyperlink r:id="rId40" w:history="1">
        <w:r>
          <w:rPr>
            <w:rStyle w:val="Hyperlink"/>
            <w:rFonts w:cstheme="minorHAnsi"/>
            <w:szCs w:val="24"/>
          </w:rPr>
          <w:t xml:space="preserve">axial </w:t>
        </w:r>
        <w:proofErr w:type="spellStart"/>
        <w:r>
          <w:rPr>
            <w:rStyle w:val="Hyperlink"/>
            <w:rFonts w:cstheme="minorHAnsi"/>
            <w:szCs w:val="24"/>
          </w:rPr>
          <w:t>spondyloarthritis</w:t>
        </w:r>
        <w:proofErr w:type="spellEnd"/>
      </w:hyperlink>
      <w:r>
        <w:rPr>
          <w:rStyle w:val="Hyperlink"/>
          <w:rFonts w:cstheme="minorHAnsi"/>
          <w:szCs w:val="24"/>
        </w:rPr>
        <w:t xml:space="preserve"> </w:t>
      </w:r>
      <w:r>
        <w:rPr>
          <w:rFonts w:cstheme="minorHAnsi"/>
          <w:szCs w:val="24"/>
        </w:rPr>
        <w:t>in the UK.</w:t>
      </w:r>
      <w:r>
        <w:rPr>
          <w:rStyle w:val="EndnoteReference"/>
          <w:rFonts w:cstheme="minorHAnsi"/>
          <w:szCs w:val="24"/>
        </w:rPr>
        <w:endnoteReference w:id="10"/>
      </w:r>
    </w:p>
    <w:p w14:paraId="284F914D" w14:textId="77777777" w:rsidR="00F21187" w:rsidRDefault="00F21187" w:rsidP="00F21187">
      <w:pPr>
        <w:pStyle w:val="ListParagraph"/>
        <w:numPr>
          <w:ilvl w:val="0"/>
          <w:numId w:val="12"/>
        </w:numPr>
        <w:rPr>
          <w:rFonts w:cstheme="minorHAnsi"/>
          <w:szCs w:val="24"/>
          <w:vertAlign w:val="superscript"/>
        </w:rPr>
      </w:pPr>
      <w:r>
        <w:rPr>
          <w:rFonts w:cstheme="minorHAnsi"/>
          <w:szCs w:val="24"/>
        </w:rPr>
        <w:t xml:space="preserve">Around 100,000 people have </w:t>
      </w:r>
      <w:hyperlink r:id="rId41" w:history="1">
        <w:r>
          <w:rPr>
            <w:rStyle w:val="Hyperlink"/>
            <w:rFonts w:cstheme="minorHAnsi"/>
            <w:szCs w:val="24"/>
          </w:rPr>
          <w:t>psoriatic arthritis</w:t>
        </w:r>
      </w:hyperlink>
      <w:r>
        <w:rPr>
          <w:rStyle w:val="Hyperlink"/>
          <w:rFonts w:cstheme="minorHAnsi"/>
          <w:szCs w:val="24"/>
        </w:rPr>
        <w:t xml:space="preserve"> </w:t>
      </w:r>
      <w:r>
        <w:rPr>
          <w:rFonts w:cstheme="minorHAnsi"/>
          <w:szCs w:val="24"/>
        </w:rPr>
        <w:t>in the UK.</w:t>
      </w:r>
      <w:r>
        <w:rPr>
          <w:rStyle w:val="EndnoteReference"/>
          <w:rFonts w:cstheme="minorHAnsi"/>
          <w:szCs w:val="24"/>
        </w:rPr>
        <w:endnoteReference w:id="11"/>
      </w:r>
    </w:p>
    <w:p w14:paraId="0F860128" w14:textId="77777777" w:rsidR="00F21187" w:rsidRDefault="00F21187" w:rsidP="00F21187">
      <w:r>
        <w:t>Conditions of MSK pain</w:t>
      </w:r>
    </w:p>
    <w:p w14:paraId="22E70844" w14:textId="77777777" w:rsidR="00F21187" w:rsidRDefault="00F21187" w:rsidP="00F21187">
      <w:pPr>
        <w:pStyle w:val="ListParagraph"/>
        <w:numPr>
          <w:ilvl w:val="0"/>
          <w:numId w:val="14"/>
        </w:numPr>
        <w:rPr>
          <w:szCs w:val="24"/>
        </w:rPr>
      </w:pPr>
      <w:r>
        <w:rPr>
          <w:rFonts w:cstheme="minorHAnsi"/>
          <w:szCs w:val="24"/>
        </w:rPr>
        <w:t xml:space="preserve">Around 8.5 million people have </w:t>
      </w:r>
      <w:hyperlink r:id="rId42" w:history="1">
        <w:r>
          <w:rPr>
            <w:rStyle w:val="Hyperlink"/>
            <w:rFonts w:cstheme="minorHAnsi"/>
            <w:szCs w:val="24"/>
          </w:rPr>
          <w:t>osteoarthritis</w:t>
        </w:r>
      </w:hyperlink>
      <w:r>
        <w:rPr>
          <w:rStyle w:val="Hyperlink"/>
          <w:rFonts w:cstheme="minorHAnsi"/>
          <w:szCs w:val="24"/>
        </w:rPr>
        <w:t xml:space="preserve"> </w:t>
      </w:r>
      <w:r>
        <w:rPr>
          <w:rFonts w:cstheme="minorHAnsi"/>
          <w:szCs w:val="24"/>
        </w:rPr>
        <w:t>in the UK.</w:t>
      </w:r>
      <w:r>
        <w:rPr>
          <w:rFonts w:cstheme="minorHAnsi"/>
          <w:szCs w:val="24"/>
          <w:vertAlign w:val="superscript"/>
        </w:rPr>
        <w:t>1,</w:t>
      </w:r>
      <w:r>
        <w:rPr>
          <w:rStyle w:val="EndnoteReference"/>
          <w:rFonts w:cstheme="minorHAnsi"/>
          <w:szCs w:val="24"/>
        </w:rPr>
        <w:endnoteReference w:id="12"/>
      </w:r>
    </w:p>
    <w:p w14:paraId="1434DD0A" w14:textId="77777777" w:rsidR="00F21187" w:rsidRDefault="00F21187" w:rsidP="00F21187">
      <w:pPr>
        <w:pStyle w:val="ListParagraph"/>
        <w:numPr>
          <w:ilvl w:val="0"/>
          <w:numId w:val="14"/>
        </w:numPr>
        <w:rPr>
          <w:szCs w:val="24"/>
        </w:rPr>
      </w:pPr>
      <w:r>
        <w:rPr>
          <w:rFonts w:cstheme="minorHAnsi"/>
          <w:szCs w:val="24"/>
        </w:rPr>
        <w:t xml:space="preserve">10 million people have </w:t>
      </w:r>
      <w:hyperlink r:id="rId43" w:history="1">
        <w:r>
          <w:rPr>
            <w:rStyle w:val="Hyperlink"/>
            <w:rFonts w:cstheme="minorHAnsi"/>
            <w:szCs w:val="24"/>
          </w:rPr>
          <w:t>back pain</w:t>
        </w:r>
      </w:hyperlink>
      <w:r>
        <w:rPr>
          <w:rStyle w:val="Hyperlink"/>
          <w:rFonts w:cstheme="minorHAnsi"/>
          <w:szCs w:val="24"/>
        </w:rPr>
        <w:t xml:space="preserve"> </w:t>
      </w:r>
      <w:r>
        <w:rPr>
          <w:rFonts w:cstheme="minorHAnsi"/>
          <w:szCs w:val="24"/>
        </w:rPr>
        <w:t>in the UK.</w:t>
      </w:r>
      <w:r>
        <w:rPr>
          <w:rStyle w:val="EndnoteReference"/>
          <w:rFonts w:cstheme="minorHAnsi"/>
          <w:szCs w:val="24"/>
        </w:rPr>
        <w:endnoteReference w:id="13"/>
      </w:r>
    </w:p>
    <w:p w14:paraId="4B109549" w14:textId="77777777" w:rsidR="00F21187" w:rsidRDefault="00F21187" w:rsidP="00F21187">
      <w:pPr>
        <w:pStyle w:val="ListParagraph"/>
        <w:numPr>
          <w:ilvl w:val="0"/>
          <w:numId w:val="14"/>
        </w:numPr>
        <w:rPr>
          <w:szCs w:val="24"/>
        </w:rPr>
      </w:pPr>
      <w:r>
        <w:rPr>
          <w:rFonts w:cstheme="minorHAnsi"/>
          <w:szCs w:val="24"/>
        </w:rPr>
        <w:t>1.7 to 2.8 million</w:t>
      </w:r>
      <w:r>
        <w:rPr>
          <w:rStyle w:val="FootnoteReference"/>
          <w:rFonts w:cstheme="minorHAnsi"/>
          <w:szCs w:val="24"/>
        </w:rPr>
        <w:footnoteReference w:id="2"/>
      </w:r>
      <w:r>
        <w:rPr>
          <w:rFonts w:cstheme="minorHAnsi"/>
          <w:szCs w:val="24"/>
        </w:rPr>
        <w:t xml:space="preserve"> people have </w:t>
      </w:r>
      <w:hyperlink r:id="rId44" w:history="1">
        <w:r>
          <w:rPr>
            <w:rStyle w:val="Hyperlink"/>
            <w:rFonts w:cstheme="minorHAnsi"/>
            <w:szCs w:val="24"/>
          </w:rPr>
          <w:t>fibromyalgia</w:t>
        </w:r>
      </w:hyperlink>
      <w:r>
        <w:rPr>
          <w:rStyle w:val="Hyperlink"/>
          <w:rFonts w:cstheme="minorHAnsi"/>
          <w:szCs w:val="24"/>
        </w:rPr>
        <w:t xml:space="preserve"> </w:t>
      </w:r>
      <w:r>
        <w:rPr>
          <w:rFonts w:cstheme="minorHAnsi"/>
          <w:szCs w:val="24"/>
        </w:rPr>
        <w:t>in the UK.</w:t>
      </w:r>
      <w:r>
        <w:rPr>
          <w:rStyle w:val="EndnoteReference"/>
          <w:rFonts w:cstheme="minorHAnsi"/>
          <w:szCs w:val="24"/>
        </w:rPr>
        <w:endnoteReference w:id="14"/>
      </w:r>
    </w:p>
    <w:p w14:paraId="563BE464" w14:textId="77777777" w:rsidR="00F21187" w:rsidRDefault="00F21187" w:rsidP="00F21187">
      <w:pPr>
        <w:rPr>
          <w:szCs w:val="24"/>
        </w:rPr>
      </w:pPr>
      <w:r>
        <w:rPr>
          <w:szCs w:val="24"/>
        </w:rPr>
        <w:t>Osteoporosis and fragility fractures</w:t>
      </w:r>
    </w:p>
    <w:p w14:paraId="52B5A61F" w14:textId="77777777" w:rsidR="00F21187" w:rsidRDefault="00F21187" w:rsidP="00F21187">
      <w:pPr>
        <w:pStyle w:val="ListParagraph"/>
        <w:numPr>
          <w:ilvl w:val="0"/>
          <w:numId w:val="16"/>
        </w:numPr>
        <w:rPr>
          <w:rFonts w:cstheme="minorHAnsi"/>
          <w:szCs w:val="24"/>
        </w:rPr>
      </w:pPr>
      <w:r>
        <w:rPr>
          <w:rFonts w:cstheme="minorHAnsi"/>
          <w:szCs w:val="24"/>
        </w:rPr>
        <w:t xml:space="preserve">3 million people have </w:t>
      </w:r>
      <w:hyperlink r:id="rId45" w:history="1">
        <w:r>
          <w:rPr>
            <w:rStyle w:val="Hyperlink"/>
            <w:rFonts w:cstheme="minorHAnsi"/>
            <w:szCs w:val="24"/>
          </w:rPr>
          <w:t>osteoporosis</w:t>
        </w:r>
      </w:hyperlink>
      <w:r>
        <w:rPr>
          <w:rStyle w:val="Hyperlink"/>
          <w:rFonts w:cstheme="minorHAnsi"/>
          <w:szCs w:val="24"/>
        </w:rPr>
        <w:t xml:space="preserve"> </w:t>
      </w:r>
      <w:r>
        <w:rPr>
          <w:rFonts w:cstheme="minorHAnsi"/>
          <w:szCs w:val="24"/>
        </w:rPr>
        <w:t>in the UK.</w:t>
      </w:r>
      <w:r>
        <w:rPr>
          <w:rStyle w:val="EndnoteReference"/>
          <w:rFonts w:cstheme="minorHAnsi"/>
          <w:szCs w:val="24"/>
        </w:rPr>
        <w:endnoteReference w:id="15"/>
      </w:r>
    </w:p>
    <w:p w14:paraId="1DB2CC47" w14:textId="77777777" w:rsidR="00F21187" w:rsidRDefault="00F21187" w:rsidP="00F21187">
      <w:pPr>
        <w:pStyle w:val="ListParagraph"/>
        <w:numPr>
          <w:ilvl w:val="0"/>
          <w:numId w:val="16"/>
        </w:numPr>
        <w:rPr>
          <w:rFonts w:cstheme="minorHAnsi"/>
          <w:szCs w:val="24"/>
        </w:rPr>
      </w:pPr>
      <w:r>
        <w:rPr>
          <w:rFonts w:cstheme="minorHAnsi"/>
          <w:szCs w:val="24"/>
        </w:rPr>
        <w:t>500,000 fragility fractures occur each year in the UK.</w:t>
      </w:r>
      <w:r>
        <w:rPr>
          <w:rStyle w:val="EndnoteReference"/>
          <w:rFonts w:cstheme="minorHAnsi"/>
          <w:szCs w:val="24"/>
        </w:rPr>
        <w:endnoteReference w:id="16"/>
      </w:r>
    </w:p>
    <w:p w14:paraId="6F53918A" w14:textId="77777777" w:rsidR="00F21187" w:rsidRDefault="00F21187" w:rsidP="00F21187">
      <w:pPr>
        <w:rPr>
          <w:rFonts w:cstheme="minorHAnsi"/>
          <w:color w:val="000000" w:themeColor="text1"/>
          <w:sz w:val="28"/>
          <w:szCs w:val="28"/>
        </w:rPr>
      </w:pPr>
    </w:p>
    <w:p w14:paraId="74033B7D" w14:textId="77777777" w:rsidR="00F21187" w:rsidRDefault="00F21187" w:rsidP="00F21187">
      <w:pPr>
        <w:spacing w:after="0" w:line="240" w:lineRule="auto"/>
        <w:rPr>
          <w:b/>
          <w:bCs/>
          <w:szCs w:val="24"/>
          <w:u w:val="single"/>
        </w:rPr>
      </w:pPr>
      <w:r>
        <w:rPr>
          <w:b/>
          <w:bCs/>
          <w:szCs w:val="24"/>
          <w:u w:val="single"/>
        </w:rPr>
        <w:t xml:space="preserve">View MSK Calculator estimates: </w:t>
      </w:r>
    </w:p>
    <w:p w14:paraId="3B0E1B07" w14:textId="77777777" w:rsidR="00F21187" w:rsidRDefault="00F21187" w:rsidP="00F21187">
      <w:pPr>
        <w:spacing w:after="0" w:line="240" w:lineRule="auto"/>
        <w:rPr>
          <w:szCs w:val="24"/>
        </w:rPr>
      </w:pPr>
      <w:r>
        <w:rPr>
          <w:szCs w:val="24"/>
        </w:rPr>
        <w:t>Prevalence estimates for osteoarthritis (hip/knee), rheumatoid arthritis and back pain for England, Scotland and Wales.</w:t>
      </w:r>
    </w:p>
    <w:p w14:paraId="272FB5AF" w14:textId="77777777" w:rsidR="00F21187" w:rsidRDefault="00F21187" w:rsidP="00F21187">
      <w:pPr>
        <w:spacing w:after="0" w:line="240" w:lineRule="auto"/>
        <w:rPr>
          <w:szCs w:val="24"/>
        </w:rPr>
      </w:pPr>
    </w:p>
    <w:p w14:paraId="6C59C1C1" w14:textId="77777777" w:rsidR="00F21187" w:rsidRDefault="00F21187" w:rsidP="00F21187">
      <w:pPr>
        <w:pStyle w:val="Heading1"/>
        <w:rPr>
          <w:rFonts w:eastAsiaTheme="minorEastAsia"/>
        </w:rPr>
      </w:pPr>
      <w:bookmarkStart w:id="12" w:name="_Toc85547753"/>
      <w:r>
        <w:rPr>
          <w:rFonts w:eastAsiaTheme="minorEastAsia"/>
        </w:rPr>
        <w:t>05 Variations by Deprivation and Ethnicity</w:t>
      </w:r>
      <w:bookmarkEnd w:id="12"/>
    </w:p>
    <w:p w14:paraId="4A6AF862" w14:textId="77777777" w:rsidR="00F21187" w:rsidRDefault="00F21187" w:rsidP="00F21187">
      <w:pPr>
        <w:pStyle w:val="Heading2"/>
        <w:rPr>
          <w:rFonts w:eastAsiaTheme="minorEastAsia"/>
        </w:rPr>
      </w:pPr>
      <w:bookmarkStart w:id="13" w:name="_Toc85547754"/>
      <w:r>
        <w:rPr>
          <w:rFonts w:eastAsiaTheme="minorEastAsia"/>
        </w:rPr>
        <w:t>Deprivation</w:t>
      </w:r>
      <w:bookmarkEnd w:id="13"/>
      <w:r>
        <w:rPr>
          <w:rFonts w:eastAsiaTheme="minorEastAsia"/>
        </w:rPr>
        <w:t xml:space="preserve"> </w:t>
      </w:r>
    </w:p>
    <w:p w14:paraId="04C79767" w14:textId="77777777" w:rsidR="00F21187" w:rsidRDefault="00F21187" w:rsidP="00F21187">
      <w:r>
        <w:t>MSK conditions are more common in areas of greater poverty. People who live in the most deprived fifth of society are more likely to report a long-term MSK condition compared to those living in the least deprived fifth.</w:t>
      </w:r>
      <w:r>
        <w:rPr>
          <w:vertAlign w:val="superscript"/>
        </w:rPr>
        <w:t>4,5,6</w:t>
      </w:r>
      <w:r>
        <w:t xml:space="preserve">  </w:t>
      </w:r>
    </w:p>
    <w:p w14:paraId="78080F0D" w14:textId="77777777" w:rsidR="00F21187" w:rsidRDefault="00F21187" w:rsidP="00F21187">
      <w:pPr>
        <w:rPr>
          <w:vertAlign w:val="superscript"/>
        </w:rPr>
      </w:pPr>
      <w:r>
        <w:t>21% of people living in the most deprived quintile in England report a long-term MSK condition compared to 14% of people living in the least deprived quintile.</w:t>
      </w:r>
      <w:r>
        <w:rPr>
          <w:vertAlign w:val="superscript"/>
        </w:rPr>
        <w:t>6</w:t>
      </w:r>
    </w:p>
    <w:p w14:paraId="68364E3F" w14:textId="77777777" w:rsidR="00F21187" w:rsidRDefault="00F21187" w:rsidP="00F21187">
      <w:r>
        <w:t>22% of people living in the most deprived quintile in Scotland report a long-term MSK condition compared to 11% of people living in the least deprived quintile.</w:t>
      </w:r>
      <w:r>
        <w:rPr>
          <w:vertAlign w:val="superscript"/>
        </w:rPr>
        <w:t>4</w:t>
      </w:r>
      <w:r>
        <w:t xml:space="preserve"> </w:t>
      </w:r>
    </w:p>
    <w:p w14:paraId="0664AFB7" w14:textId="77777777" w:rsidR="00F21187" w:rsidRDefault="00F21187" w:rsidP="00F21187">
      <w:r>
        <w:t>20% of people living in the most deprived quintile in Wales report a long-term MSK condition compared to 13% of people living in the least deprived quintile.</w:t>
      </w:r>
      <w:r>
        <w:rPr>
          <w:vertAlign w:val="superscript"/>
        </w:rPr>
        <w:t>5</w:t>
      </w:r>
      <w:r>
        <w:t xml:space="preserve"> </w:t>
      </w:r>
    </w:p>
    <w:p w14:paraId="5FB5B760" w14:textId="77777777" w:rsidR="00F21187" w:rsidRDefault="00F21187" w:rsidP="00F21187">
      <w:pPr>
        <w:pStyle w:val="Heading2"/>
        <w:rPr>
          <w:rFonts w:eastAsiaTheme="minorEastAsia"/>
        </w:rPr>
      </w:pPr>
      <w:bookmarkStart w:id="14" w:name="_Toc85547755"/>
      <w:r>
        <w:rPr>
          <w:rFonts w:eastAsiaTheme="minorEastAsia"/>
        </w:rPr>
        <w:lastRenderedPageBreak/>
        <w:t>Ethnicity</w:t>
      </w:r>
      <w:bookmarkEnd w:id="14"/>
    </w:p>
    <w:p w14:paraId="5948CB0B" w14:textId="77777777" w:rsidR="00F21187" w:rsidRDefault="00F21187" w:rsidP="00F21187">
      <w:pPr>
        <w:pStyle w:val="Title"/>
        <w:jc w:val="both"/>
        <w:rPr>
          <w:rFonts w:eastAsiaTheme="minorEastAsia" w:cstheme="minorBidi"/>
          <w:b w:val="0"/>
          <w:noProof w:val="0"/>
          <w:color w:val="auto"/>
          <w:sz w:val="24"/>
          <w:szCs w:val="22"/>
        </w:rPr>
      </w:pPr>
      <w:r>
        <w:rPr>
          <w:rFonts w:eastAsiaTheme="minorEastAsia" w:cstheme="minorBidi"/>
          <w:b w:val="0"/>
          <w:noProof w:val="0"/>
          <w:color w:val="auto"/>
          <w:sz w:val="24"/>
          <w:szCs w:val="22"/>
        </w:rPr>
        <w:t>MSK conditions may affect some ethnic groups more than others. In England, people from the following ethnic groups - Gypsy or Irish Traveller (27.3%), White Irish (22.8%), White British (20.6%) or Black Caribbean (19.9%) - remained most likely to report a long-</w:t>
      </w:r>
      <w:proofErr w:type="spellStart"/>
      <w:r>
        <w:rPr>
          <w:rFonts w:eastAsiaTheme="minorEastAsia" w:cstheme="minorBidi"/>
          <w:b w:val="0"/>
          <w:noProof w:val="0"/>
          <w:color w:val="auto"/>
          <w:sz w:val="24"/>
          <w:szCs w:val="22"/>
        </w:rPr>
        <w:t>term</w:t>
      </w:r>
      <w:r>
        <w:rPr>
          <w:rFonts w:eastAsiaTheme="minorEastAsia" w:cstheme="minorBidi"/>
          <w:b w:val="0"/>
          <w:noProof w:val="0"/>
          <w:color w:val="auto"/>
          <w:sz w:val="24"/>
          <w:szCs w:val="22"/>
          <w:vertAlign w:val="superscript"/>
        </w:rPr>
        <w:t>iv</w:t>
      </w:r>
      <w:proofErr w:type="spellEnd"/>
      <w:r>
        <w:rPr>
          <w:rFonts w:eastAsiaTheme="minorEastAsia" w:cstheme="minorBidi"/>
          <w:b w:val="0"/>
          <w:noProof w:val="0"/>
          <w:color w:val="auto"/>
          <w:sz w:val="24"/>
          <w:szCs w:val="22"/>
          <w:vertAlign w:val="superscript"/>
        </w:rPr>
        <w:t xml:space="preserve"> </w:t>
      </w:r>
      <w:r>
        <w:rPr>
          <w:rFonts w:eastAsiaTheme="minorEastAsia" w:cstheme="minorBidi"/>
          <w:b w:val="0"/>
          <w:noProof w:val="0"/>
          <w:color w:val="auto"/>
          <w:sz w:val="24"/>
          <w:szCs w:val="22"/>
        </w:rPr>
        <w:t>MSK condition.</w:t>
      </w:r>
      <w:r>
        <w:rPr>
          <w:rFonts w:eastAsiaTheme="minorEastAsia" w:cstheme="minorBidi"/>
          <w:b w:val="0"/>
          <w:noProof w:val="0"/>
          <w:color w:val="auto"/>
          <w:sz w:val="24"/>
          <w:szCs w:val="22"/>
          <w:vertAlign w:val="superscript"/>
        </w:rPr>
        <w:t>3</w:t>
      </w:r>
    </w:p>
    <w:p w14:paraId="58A257C9" w14:textId="77777777" w:rsidR="00F21187" w:rsidRDefault="00F21187" w:rsidP="00F21187"/>
    <w:p w14:paraId="670E9E59" w14:textId="77777777" w:rsidR="00F21187" w:rsidRDefault="00F21187" w:rsidP="00F21187">
      <w:pPr>
        <w:pStyle w:val="Heading1"/>
        <w:rPr>
          <w:rFonts w:eastAsiaTheme="minorEastAsia"/>
        </w:rPr>
      </w:pPr>
      <w:bookmarkStart w:id="15" w:name="_Toc85547756"/>
      <w:r>
        <w:rPr>
          <w:rFonts w:eastAsiaTheme="minorEastAsia"/>
        </w:rPr>
        <w:t>06 Chronic pain</w:t>
      </w:r>
      <w:bookmarkEnd w:id="15"/>
    </w:p>
    <w:p w14:paraId="36DD9E7D" w14:textId="77777777" w:rsidR="00F21187" w:rsidRDefault="00F21187" w:rsidP="00F21187">
      <w:r>
        <w:t>Pain is one of the leading symptoms of MSK conditions.</w:t>
      </w:r>
    </w:p>
    <w:p w14:paraId="6F15F94C" w14:textId="77777777" w:rsidR="00F21187" w:rsidRDefault="00F21187" w:rsidP="00F21187">
      <w:r>
        <w:t>Chronic pain – defined as pain which has lasted for more than three months - affects between 18.4 million</w:t>
      </w:r>
      <w:r>
        <w:rPr>
          <w:rStyle w:val="EndnoteReference"/>
          <w:b/>
          <w:bCs/>
        </w:rPr>
        <w:endnoteReference w:id="17"/>
      </w:r>
      <w:r>
        <w:t xml:space="preserve"> (34%) and 28 million people</w:t>
      </w:r>
      <w:r>
        <w:rPr>
          <w:rStyle w:val="EndnoteReference"/>
          <w:b/>
          <w:bCs/>
        </w:rPr>
        <w:endnoteReference w:id="18"/>
      </w:r>
      <w:r>
        <w:t xml:space="preserve"> (43%) in the UK.</w:t>
      </w:r>
    </w:p>
    <w:p w14:paraId="3909DB49" w14:textId="77777777" w:rsidR="00F21187" w:rsidRDefault="00F21187" w:rsidP="00F21187">
      <w:pPr>
        <w:rPr>
          <w:szCs w:val="24"/>
        </w:rPr>
      </w:pPr>
      <w:r>
        <w:rPr>
          <w:szCs w:val="24"/>
        </w:rPr>
        <w:t>Chronic pain in England</w:t>
      </w:r>
    </w:p>
    <w:p w14:paraId="4A2E50F7" w14:textId="77777777" w:rsidR="00F21187" w:rsidRDefault="00F21187" w:rsidP="00F21187">
      <w:pPr>
        <w:rPr>
          <w:szCs w:val="24"/>
          <w:vertAlign w:val="superscript"/>
        </w:rPr>
      </w:pPr>
      <w:r>
        <w:rPr>
          <w:szCs w:val="24"/>
        </w:rPr>
        <w:t>15.5 million people (34%) have chronic pain in England.</w:t>
      </w:r>
      <w:r>
        <w:rPr>
          <w:szCs w:val="24"/>
          <w:vertAlign w:val="superscript"/>
        </w:rPr>
        <w:t>17</w:t>
      </w:r>
    </w:p>
    <w:p w14:paraId="6DE4FE93" w14:textId="77777777" w:rsidR="00F21187" w:rsidRDefault="00F21187" w:rsidP="00F21187">
      <w:pPr>
        <w:rPr>
          <w:szCs w:val="24"/>
          <w:vertAlign w:val="superscript"/>
        </w:rPr>
      </w:pPr>
      <w:r>
        <w:rPr>
          <w:szCs w:val="24"/>
        </w:rPr>
        <w:t>5.5 million people (12%) have high-impact chronic pain, which is severe and where people are unable to carry out their daily activities.</w:t>
      </w:r>
      <w:r>
        <w:rPr>
          <w:szCs w:val="24"/>
          <w:vertAlign w:val="superscript"/>
        </w:rPr>
        <w:t>17</w:t>
      </w:r>
    </w:p>
    <w:p w14:paraId="05074E5C" w14:textId="77777777" w:rsidR="00F21187" w:rsidRDefault="00F21187" w:rsidP="00F21187">
      <w:pPr>
        <w:rPr>
          <w:vertAlign w:val="superscript"/>
        </w:rPr>
      </w:pPr>
      <w:r>
        <w:t>About 8 in every 10 people (84%) with chronic pain in England report that at least some of their chronic pain is in the neck or shoulder, back, limbs or extremities – all sites where pain is most likely to be musculoskeletal.</w:t>
      </w:r>
      <w:r>
        <w:rPr>
          <w:vertAlign w:val="superscript"/>
        </w:rPr>
        <w:t>17</w:t>
      </w:r>
    </w:p>
    <w:p w14:paraId="0455C3C4" w14:textId="77777777" w:rsidR="00F21187" w:rsidRDefault="00F21187" w:rsidP="00F21187">
      <w:r>
        <w:t xml:space="preserve">42% of people with chronic pain in England report back pain, 24% report neck or shoulder pain, and 55% report pain in the arms, hands, hips, legs, or feet. </w:t>
      </w:r>
    </w:p>
    <w:p w14:paraId="6943ED59" w14:textId="77777777" w:rsidR="00F21187" w:rsidRDefault="00F21187" w:rsidP="00F21187">
      <w:r>
        <w:t>More women are affected by chronic pain than men.</w:t>
      </w:r>
    </w:p>
    <w:p w14:paraId="6DF5638B" w14:textId="77777777" w:rsidR="00F21187" w:rsidRDefault="00F21187" w:rsidP="00F21187">
      <w:pPr>
        <w:rPr>
          <w:vertAlign w:val="superscript"/>
        </w:rPr>
      </w:pPr>
      <w:r>
        <w:t>38% of women have chronic pain in England compared to 30% of men.</w:t>
      </w:r>
      <w:r>
        <w:rPr>
          <w:vertAlign w:val="superscript"/>
        </w:rPr>
        <w:t>17</w:t>
      </w:r>
    </w:p>
    <w:p w14:paraId="79F8C121" w14:textId="77777777" w:rsidR="00F21187" w:rsidRDefault="00F21187" w:rsidP="00F21187">
      <w:r>
        <w:t>14% of women have high-impact chronic pain compared to 9% of men.</w:t>
      </w:r>
      <w:r>
        <w:rPr>
          <w:vertAlign w:val="superscript"/>
        </w:rPr>
        <w:t>17</w:t>
      </w:r>
    </w:p>
    <w:p w14:paraId="57161615" w14:textId="77777777" w:rsidR="00F21187" w:rsidRDefault="00F21187" w:rsidP="00F21187">
      <w:r>
        <w:t>Chronic pain increases with increasing age, but people of all ages can have it.</w:t>
      </w:r>
    </w:p>
    <w:p w14:paraId="055A10A7" w14:textId="77777777" w:rsidR="00F21187" w:rsidRDefault="00F21187" w:rsidP="00F21187">
      <w:r>
        <w:t xml:space="preserve">The percentage of people reporting chronic pain increases from 18% of people aged 16-34 years to 29% aged 35-44 years, 39% aged 45-54 years, 43% aged 55-64 years, 49% aged 65-74 years, and 53% aged 75 and over. </w:t>
      </w:r>
    </w:p>
    <w:p w14:paraId="6B3D9528" w14:textId="77777777" w:rsidR="00F21187" w:rsidRDefault="00F21187" w:rsidP="00F21187">
      <w:r>
        <w:t>Among young adults aged 16-34 with chronic pain in England, the proportion reporting high-impact chronic pain rose from 21% to 32% between 2011 and 2017.</w:t>
      </w:r>
      <w:r>
        <w:rPr>
          <w:vertAlign w:val="superscript"/>
        </w:rPr>
        <w:t>17</w:t>
      </w:r>
    </w:p>
    <w:p w14:paraId="34900C1A" w14:textId="77777777" w:rsidR="00F21187" w:rsidRDefault="00F21187" w:rsidP="00F21187">
      <w:r>
        <w:t xml:space="preserve">The same health inequalities that are seen in many long-term conditions are also seen in chronic pain. </w:t>
      </w:r>
    </w:p>
    <w:p w14:paraId="152D22EE" w14:textId="77777777" w:rsidR="00F21187" w:rsidRDefault="00F21187" w:rsidP="00F21187">
      <w:r>
        <w:t xml:space="preserve">Chronic pain is linked to deprivation. </w:t>
      </w:r>
    </w:p>
    <w:p w14:paraId="7FA1C3FF" w14:textId="77777777" w:rsidR="00F21187" w:rsidRDefault="00F21187" w:rsidP="00F21187">
      <w:pPr>
        <w:rPr>
          <w:vertAlign w:val="superscript"/>
        </w:rPr>
      </w:pPr>
      <w:r>
        <w:t>4 in 10 people (41%) who live in the most deprived fifth of society in England report chronic pain compared to 3 in 10 (30%) in the least deprived quintile.</w:t>
      </w:r>
      <w:r>
        <w:rPr>
          <w:vertAlign w:val="superscript"/>
        </w:rPr>
        <w:t>17</w:t>
      </w:r>
    </w:p>
    <w:p w14:paraId="7BE90F09" w14:textId="77777777" w:rsidR="00F21187" w:rsidRDefault="00F21187" w:rsidP="00F21187">
      <w:r>
        <w:t>Chronic pain disproportionately affects some minority ethnic groups.</w:t>
      </w:r>
    </w:p>
    <w:p w14:paraId="36F2C0C9" w14:textId="77777777" w:rsidR="00F21187" w:rsidRDefault="00F21187" w:rsidP="00F21187">
      <w:pPr>
        <w:rPr>
          <w:vertAlign w:val="superscript"/>
        </w:rPr>
      </w:pPr>
      <w:r>
        <w:t>In England, 44% of Black people have chronic pain, compared with 34% of white people, 35% of Asian people, 34% of people of mixed ethnicity and 26% of people from other ethnicities.</w:t>
      </w:r>
      <w:r>
        <w:rPr>
          <w:vertAlign w:val="superscript"/>
        </w:rPr>
        <w:t>17</w:t>
      </w:r>
    </w:p>
    <w:p w14:paraId="19DAA3E2" w14:textId="77777777" w:rsidR="00F21187" w:rsidRDefault="00F21187" w:rsidP="00F21187">
      <w:r>
        <w:t xml:space="preserve">Read the full report: </w:t>
      </w:r>
      <w:hyperlink r:id="rId46" w:anchor=":~:text=Around%2015.5%20million%20people%20in,have%20low%2Dimpact%20chronic%20pain." w:history="1">
        <w:r>
          <w:rPr>
            <w:rStyle w:val="Hyperlink"/>
          </w:rPr>
          <w:t>Chronic pain in England: Unseen, Unequal, Unfair</w:t>
        </w:r>
      </w:hyperlink>
    </w:p>
    <w:p w14:paraId="73CDC5CD" w14:textId="77777777" w:rsidR="00F21187" w:rsidRDefault="00F21187" w:rsidP="00F21187"/>
    <w:p w14:paraId="382A4C39" w14:textId="77777777" w:rsidR="00F21187" w:rsidRDefault="00F21187" w:rsidP="00F21187">
      <w:pPr>
        <w:pStyle w:val="Heading1"/>
        <w:rPr>
          <w:rFonts w:eastAsiaTheme="minorEastAsia"/>
        </w:rPr>
      </w:pPr>
      <w:bookmarkStart w:id="16" w:name="_Toc85547757"/>
      <w:r>
        <w:rPr>
          <w:rFonts w:eastAsiaTheme="minorEastAsia"/>
        </w:rPr>
        <w:t>07 Key Risk Factors</w:t>
      </w:r>
      <w:bookmarkEnd w:id="16"/>
      <w:r>
        <w:rPr>
          <w:rFonts w:eastAsiaTheme="minorEastAsia"/>
        </w:rPr>
        <w:t xml:space="preserve"> </w:t>
      </w:r>
    </w:p>
    <w:p w14:paraId="49BAFF32" w14:textId="77777777" w:rsidR="00F21187" w:rsidRDefault="00F21187" w:rsidP="00F21187">
      <w:pPr>
        <w:pStyle w:val="Heading2"/>
        <w:rPr>
          <w:rFonts w:eastAsiaTheme="minorEastAsia"/>
        </w:rPr>
      </w:pPr>
      <w:bookmarkStart w:id="17" w:name="_Toc85547758"/>
      <w:r>
        <w:rPr>
          <w:rFonts w:eastAsiaTheme="minorEastAsia"/>
        </w:rPr>
        <w:lastRenderedPageBreak/>
        <w:t>Physical inactivity</w:t>
      </w:r>
      <w:bookmarkEnd w:id="17"/>
      <w:r>
        <w:rPr>
          <w:rFonts w:eastAsiaTheme="minorEastAsia"/>
        </w:rPr>
        <w:t xml:space="preserve"> </w:t>
      </w:r>
    </w:p>
    <w:p w14:paraId="25DD0EDC" w14:textId="77777777" w:rsidR="00F21187" w:rsidRDefault="00F21187" w:rsidP="00F21187">
      <w:r>
        <w:t>Inactive people are at increased risk of developing certain painful MSK conditions.</w:t>
      </w:r>
    </w:p>
    <w:p w14:paraId="2C8FE4C4" w14:textId="77777777" w:rsidR="00F21187" w:rsidRDefault="00F21187" w:rsidP="00F21187">
      <w:r>
        <w:t>One in four people in the UK do less than 30 minutes of physical activity</w:t>
      </w:r>
      <w:r>
        <w:rPr>
          <w:rStyle w:val="FootnoteReference"/>
          <w:bCs/>
        </w:rPr>
        <w:footnoteReference w:id="3"/>
      </w:r>
      <w:r>
        <w:t xml:space="preserve"> per week (inactive).</w:t>
      </w:r>
      <w:r>
        <w:rPr>
          <w:vertAlign w:val="superscript"/>
        </w:rPr>
        <w:t>4,5,6</w:t>
      </w:r>
    </w:p>
    <w:p w14:paraId="2747FAB0" w14:textId="77777777" w:rsidR="00F21187" w:rsidRDefault="00F21187" w:rsidP="00F21187">
      <w:pPr>
        <w:rPr>
          <w:vertAlign w:val="superscript"/>
        </w:rPr>
      </w:pPr>
      <w:r>
        <w:t>People who have a long-term</w:t>
      </w:r>
      <w:r>
        <w:rPr>
          <w:rStyle w:val="FootnoteReference"/>
          <w:bCs/>
        </w:rPr>
        <w:footnoteReference w:id="4"/>
      </w:r>
      <w:r>
        <w:rPr>
          <w:bCs/>
        </w:rPr>
        <w:t xml:space="preserve"> </w:t>
      </w:r>
      <w:r>
        <w:t>MSK condition are around twice as likely to report being physically inactive than those without.</w:t>
      </w:r>
      <w:r>
        <w:rPr>
          <w:vertAlign w:val="superscript"/>
        </w:rPr>
        <w:t>4,5,6</w:t>
      </w:r>
    </w:p>
    <w:p w14:paraId="0F68F05B" w14:textId="77777777" w:rsidR="00F21187" w:rsidRDefault="00F21187" w:rsidP="00F21187">
      <w:pPr>
        <w:rPr>
          <w:vertAlign w:val="superscript"/>
        </w:rPr>
      </w:pPr>
      <w:r>
        <w:t>38% of people living with a long-term MSK condition in England are physically inactive compared to 21% of people who do not have a long-term condition.</w:t>
      </w:r>
      <w:r>
        <w:rPr>
          <w:vertAlign w:val="superscript"/>
        </w:rPr>
        <w:t>6</w:t>
      </w:r>
    </w:p>
    <w:p w14:paraId="47D9924C" w14:textId="77777777" w:rsidR="00F21187" w:rsidRDefault="00F21187" w:rsidP="00F21187">
      <w:pPr>
        <w:rPr>
          <w:vertAlign w:val="superscript"/>
        </w:rPr>
      </w:pPr>
      <w:r>
        <w:t>33% of people who living with a long-term MSK condition in Scotland are physically inactive compared to 14% of people who do not have a long-term condition.</w:t>
      </w:r>
      <w:r>
        <w:rPr>
          <w:vertAlign w:val="superscript"/>
        </w:rPr>
        <w:t>6</w:t>
      </w:r>
    </w:p>
    <w:p w14:paraId="00CE5324" w14:textId="77777777" w:rsidR="00F21187" w:rsidRDefault="00F21187" w:rsidP="00F21187">
      <w:pPr>
        <w:rPr>
          <w:vertAlign w:val="superscript"/>
        </w:rPr>
      </w:pPr>
      <w:r>
        <w:t>49% of people who living with a long-term MSK condition in Wales are physically inactive compared to 26% of people who do not have a long-term condition.</w:t>
      </w:r>
      <w:r>
        <w:rPr>
          <w:vertAlign w:val="superscript"/>
        </w:rPr>
        <w:t>6</w:t>
      </w:r>
    </w:p>
    <w:p w14:paraId="06584447" w14:textId="77777777" w:rsidR="00F21187" w:rsidRDefault="00F21187" w:rsidP="00F21187">
      <w:r>
        <w:t>Data notes:</w:t>
      </w:r>
    </w:p>
    <w:p w14:paraId="0340141E" w14:textId="77777777" w:rsidR="00F21187" w:rsidRDefault="00F21187" w:rsidP="00F21187">
      <w:pPr>
        <w:pStyle w:val="FootnoteText"/>
        <w:rPr>
          <w:sz w:val="18"/>
          <w:szCs w:val="18"/>
        </w:rPr>
      </w:pPr>
      <w:r>
        <w:rPr>
          <w:sz w:val="18"/>
          <w:szCs w:val="18"/>
        </w:rPr>
        <w:t xml:space="preserve">Data is age standardised however caution should be taken when making comparisons by nation. Survey methodology and data weighting/age-standardisation techniques can vary. </w:t>
      </w:r>
    </w:p>
    <w:p w14:paraId="4C5063F9" w14:textId="77777777" w:rsidR="00F21187" w:rsidRDefault="00F21187" w:rsidP="00F21187"/>
    <w:p w14:paraId="4318344F" w14:textId="77777777" w:rsidR="00F21187" w:rsidRDefault="00F21187" w:rsidP="00F21187">
      <w:r>
        <w:t xml:space="preserve">Staying physically active helps to keep us healthy and is particularly important for MSK and mental health. </w:t>
      </w:r>
    </w:p>
    <w:p w14:paraId="129B827C" w14:textId="77777777" w:rsidR="00F21187" w:rsidRDefault="00F21187" w:rsidP="00F21187">
      <w:r>
        <w:t>Regular physical activity reduces your risk of</w:t>
      </w:r>
    </w:p>
    <w:p w14:paraId="72E982F8" w14:textId="77777777" w:rsidR="00F21187" w:rsidRDefault="00F21187" w:rsidP="00F21187">
      <w:pPr>
        <w:pStyle w:val="ListParagraph"/>
        <w:numPr>
          <w:ilvl w:val="0"/>
          <w:numId w:val="18"/>
        </w:numPr>
        <w:spacing w:after="221"/>
      </w:pPr>
      <w:r>
        <w:t>Hip and knee osteoarthritis pain by 6%</w:t>
      </w:r>
      <w:r>
        <w:rPr>
          <w:rStyle w:val="EndnoteReference"/>
          <w:rFonts w:eastAsia="Calibri" w:cs="Calibri"/>
        </w:rPr>
        <w:endnoteReference w:id="19"/>
      </w:r>
    </w:p>
    <w:p w14:paraId="03525F94" w14:textId="77777777" w:rsidR="00F21187" w:rsidRDefault="00F21187" w:rsidP="00F21187">
      <w:pPr>
        <w:pStyle w:val="ListParagraph"/>
        <w:numPr>
          <w:ilvl w:val="0"/>
          <w:numId w:val="18"/>
        </w:numPr>
      </w:pPr>
      <w:r>
        <w:t>Joint and back pain by 25%</w:t>
      </w:r>
      <w:r>
        <w:rPr>
          <w:rStyle w:val="EndnoteReference"/>
          <w:rFonts w:eastAsia="Calibri" w:cs="Calibri"/>
        </w:rPr>
        <w:endnoteReference w:id="20"/>
      </w:r>
    </w:p>
    <w:p w14:paraId="0A29716F" w14:textId="77777777" w:rsidR="00F21187" w:rsidRDefault="00F21187" w:rsidP="00F21187">
      <w:pPr>
        <w:pStyle w:val="ListParagraph"/>
        <w:numPr>
          <w:ilvl w:val="0"/>
          <w:numId w:val="18"/>
        </w:numPr>
      </w:pPr>
      <w:r>
        <w:t>Depression by up to 30%</w:t>
      </w:r>
      <w:r>
        <w:rPr>
          <w:rStyle w:val="EndnoteReference"/>
          <w:rFonts w:eastAsia="Calibri" w:cs="Calibri"/>
        </w:rPr>
        <w:endnoteReference w:id="21"/>
      </w:r>
    </w:p>
    <w:p w14:paraId="72F1596F" w14:textId="77777777" w:rsidR="00F21187" w:rsidRDefault="00F21187" w:rsidP="00F21187">
      <w:pPr>
        <w:pStyle w:val="ListParagraph"/>
        <w:numPr>
          <w:ilvl w:val="0"/>
          <w:numId w:val="18"/>
        </w:numPr>
        <w:spacing w:after="221"/>
      </w:pPr>
      <w:r>
        <w:t>Hip fractures by up to 68%</w:t>
      </w:r>
      <w:r>
        <w:rPr>
          <w:rStyle w:val="EndnoteReference"/>
          <w:rFonts w:eastAsia="Calibri" w:cs="Calibri"/>
        </w:rPr>
        <w:endnoteReference w:id="22"/>
      </w:r>
    </w:p>
    <w:p w14:paraId="3000EB4E" w14:textId="77777777" w:rsidR="00F21187" w:rsidRDefault="00F21187" w:rsidP="00F21187">
      <w:pPr>
        <w:pStyle w:val="ListParagraph"/>
        <w:numPr>
          <w:ilvl w:val="0"/>
          <w:numId w:val="18"/>
        </w:numPr>
      </w:pPr>
      <w:r>
        <w:t>Falls by 76%</w:t>
      </w:r>
      <w:r>
        <w:rPr>
          <w:rStyle w:val="EndnoteReference"/>
          <w:rFonts w:eastAsia="Calibri" w:cs="Calibri"/>
        </w:rPr>
        <w:endnoteReference w:id="23"/>
      </w:r>
    </w:p>
    <w:p w14:paraId="2E4FE0EF" w14:textId="77777777" w:rsidR="00F21187" w:rsidRDefault="00F21187" w:rsidP="00F21187">
      <w:r>
        <w:t>It can also help reduce stiffness and improve mobility and dexterity.</w:t>
      </w:r>
      <w:r>
        <w:rPr>
          <w:rStyle w:val="EndnoteReference"/>
          <w:rFonts w:eastAsia="Calibri" w:cs="Calibri"/>
          <w:b/>
          <w:szCs w:val="24"/>
        </w:rPr>
        <w:endnoteReference w:id="24"/>
      </w:r>
      <w:r>
        <w:t xml:space="preserve"> </w:t>
      </w:r>
    </w:p>
    <w:p w14:paraId="4975033F" w14:textId="77777777" w:rsidR="00F21187" w:rsidRDefault="00F21187" w:rsidP="00F21187">
      <w:r>
        <w:t xml:space="preserve">Six in ten people (60%) we surveyed with MSK conditions reported using physical activity as a method of self-management. </w:t>
      </w:r>
      <w:r>
        <w:rPr>
          <w:rStyle w:val="EndnoteReference"/>
        </w:rPr>
        <w:endnoteReference w:id="25"/>
      </w:r>
    </w:p>
    <w:p w14:paraId="290A5A3C" w14:textId="77777777" w:rsidR="00F21187" w:rsidRDefault="00F21187" w:rsidP="00F21187">
      <w:r>
        <w:t>Those struggling with their MSK conditions are less likely to be active but have the most to gain from the right support.</w:t>
      </w:r>
    </w:p>
    <w:p w14:paraId="0D347B2E" w14:textId="77777777" w:rsidR="00F21187" w:rsidRDefault="00F21187" w:rsidP="00F21187">
      <w:pPr>
        <w:rPr>
          <w:bCs/>
          <w:lang w:eastAsia="en-US"/>
        </w:rPr>
      </w:pPr>
      <w:r>
        <w:t>Seven in ten people we surveyed people we surveyed with MSK conditions said they would like to be more active.</w:t>
      </w:r>
      <w:r>
        <w:rPr>
          <w:rStyle w:val="EndnoteReference"/>
          <w:bCs/>
          <w:lang w:eastAsia="en-US"/>
        </w:rPr>
        <w:t xml:space="preserve"> </w:t>
      </w:r>
      <w:r>
        <w:rPr>
          <w:rStyle w:val="EndnoteReference"/>
          <w:bCs/>
          <w:lang w:eastAsia="en-US"/>
        </w:rPr>
        <w:endnoteReference w:id="26"/>
      </w:r>
    </w:p>
    <w:p w14:paraId="31663CD9" w14:textId="77777777" w:rsidR="00F21187" w:rsidRDefault="00F21187" w:rsidP="00F21187">
      <w:pPr>
        <w:rPr>
          <w:bCs/>
          <w:vertAlign w:val="superscript"/>
        </w:rPr>
      </w:pPr>
      <w:r>
        <w:rPr>
          <w:bCs/>
          <w:lang w:eastAsia="en-US"/>
        </w:rPr>
        <w:t xml:space="preserve">Four in ten </w:t>
      </w:r>
      <w:r>
        <w:rPr>
          <w:bCs/>
        </w:rPr>
        <w:t>people (36%) we surveyed with MSK conditions who were active at least once a week said they exercised because it helped them with their pain, while the same percentage reported it made them feel better about themselves.</w:t>
      </w:r>
      <w:r>
        <w:rPr>
          <w:bCs/>
          <w:vertAlign w:val="superscript"/>
        </w:rPr>
        <w:t>25</w:t>
      </w:r>
    </w:p>
    <w:p w14:paraId="3A391FF5" w14:textId="77777777" w:rsidR="00F21187" w:rsidRDefault="00F21187" w:rsidP="00F21187">
      <w:pPr>
        <w:rPr>
          <w:vertAlign w:val="superscript"/>
          <w:lang w:eastAsia="en-US"/>
        </w:rPr>
      </w:pPr>
      <w:r>
        <w:rPr>
          <w:lang w:eastAsia="en-US"/>
        </w:rPr>
        <w:t>Eight in ten people (77%)</w:t>
      </w:r>
      <w:r>
        <w:rPr>
          <w:szCs w:val="24"/>
          <w:lang w:eastAsia="en-US"/>
        </w:rPr>
        <w:t xml:space="preserve"> </w:t>
      </w:r>
      <w:r>
        <w:rPr>
          <w:lang w:eastAsia="en-US"/>
        </w:rPr>
        <w:t>we surveyed with</w:t>
      </w:r>
      <w:r>
        <w:rPr>
          <w:b/>
          <w:bCs/>
          <w:lang w:eastAsia="en-US"/>
        </w:rPr>
        <w:t xml:space="preserve"> </w:t>
      </w:r>
      <w:r>
        <w:rPr>
          <w:lang w:eastAsia="en-US"/>
        </w:rPr>
        <w:t xml:space="preserve">MSK conditions </w:t>
      </w:r>
      <w:r>
        <w:rPr>
          <w:szCs w:val="24"/>
          <w:lang w:eastAsia="en-US"/>
        </w:rPr>
        <w:t>said they</w:t>
      </w:r>
      <w:r>
        <w:rPr>
          <w:szCs w:val="24"/>
        </w:rPr>
        <w:t xml:space="preserve"> want practical support, such as tips about activity and pain management, to help them be more physically active.</w:t>
      </w:r>
      <w:r>
        <w:rPr>
          <w:vertAlign w:val="superscript"/>
          <w:lang w:eastAsia="en-US"/>
        </w:rPr>
        <w:t>26</w:t>
      </w:r>
    </w:p>
    <w:p w14:paraId="3C8BCCA6" w14:textId="77777777" w:rsidR="00F21187" w:rsidRDefault="00F21187" w:rsidP="00F21187">
      <w:r>
        <w:rPr>
          <w:szCs w:val="24"/>
        </w:rPr>
        <w:t xml:space="preserve">Over half of people </w:t>
      </w:r>
      <w:r>
        <w:rPr>
          <w:b/>
          <w:bCs/>
          <w:szCs w:val="24"/>
        </w:rPr>
        <w:t>(56%)</w:t>
      </w:r>
      <w:r>
        <w:rPr>
          <w:szCs w:val="24"/>
        </w:rPr>
        <w:t xml:space="preserve"> we surveyed with MSK conditions said that pain had a significant negative impact on their ability to do high impact physical activity (</w:t>
      </w:r>
      <w:proofErr w:type="spellStart"/>
      <w:proofErr w:type="gramStart"/>
      <w:r>
        <w:rPr>
          <w:szCs w:val="24"/>
        </w:rPr>
        <w:t>eg</w:t>
      </w:r>
      <w:proofErr w:type="spellEnd"/>
      <w:proofErr w:type="gramEnd"/>
      <w:r>
        <w:rPr>
          <w:szCs w:val="24"/>
        </w:rPr>
        <w:t xml:space="preserve"> running, tennis, team sports). With fatigue </w:t>
      </w:r>
      <w:r>
        <w:rPr>
          <w:b/>
          <w:bCs/>
          <w:szCs w:val="24"/>
        </w:rPr>
        <w:t>(55%)</w:t>
      </w:r>
      <w:r>
        <w:rPr>
          <w:szCs w:val="24"/>
        </w:rPr>
        <w:t xml:space="preserve"> and dexterity issues </w:t>
      </w:r>
      <w:r>
        <w:rPr>
          <w:b/>
          <w:bCs/>
          <w:szCs w:val="24"/>
        </w:rPr>
        <w:t xml:space="preserve">(54%) </w:t>
      </w:r>
      <w:r>
        <w:rPr>
          <w:szCs w:val="24"/>
        </w:rPr>
        <w:t>also reported</w:t>
      </w:r>
      <w:r>
        <w:rPr>
          <w:b/>
          <w:bCs/>
          <w:szCs w:val="24"/>
        </w:rPr>
        <w:t xml:space="preserve"> </w:t>
      </w:r>
      <w:r>
        <w:rPr>
          <w:szCs w:val="24"/>
        </w:rPr>
        <w:t>as barriers.</w:t>
      </w:r>
      <w:r>
        <w:rPr>
          <w:szCs w:val="24"/>
          <w:vertAlign w:val="superscript"/>
        </w:rPr>
        <w:t>25</w:t>
      </w:r>
    </w:p>
    <w:p w14:paraId="5A36E38E" w14:textId="77777777" w:rsidR="00F21187" w:rsidRDefault="00F21187" w:rsidP="00F21187">
      <w:pPr>
        <w:pStyle w:val="Heading2"/>
        <w:rPr>
          <w:rFonts w:eastAsiaTheme="minorEastAsia"/>
        </w:rPr>
      </w:pPr>
      <w:bookmarkStart w:id="18" w:name="_Toc85547759"/>
      <w:r>
        <w:rPr>
          <w:rFonts w:eastAsiaTheme="minorEastAsia"/>
        </w:rPr>
        <w:lastRenderedPageBreak/>
        <w:t>Obesity</w:t>
      </w:r>
      <w:bookmarkEnd w:id="18"/>
    </w:p>
    <w:p w14:paraId="06C4A3F8" w14:textId="77777777" w:rsidR="00F21187" w:rsidRDefault="00F21187" w:rsidP="00F21187">
      <w:r>
        <w:t>Obesity increases an individual’s risk of developing MSK conditions, such as osteoarthritis and back pain. While the development of MSK problems can make it difficult to maintain a healthy weight.</w:t>
      </w:r>
    </w:p>
    <w:p w14:paraId="40D30B5B" w14:textId="77777777" w:rsidR="00F21187" w:rsidRDefault="00F21187" w:rsidP="00F21187">
      <w:r>
        <w:rPr>
          <w:bCs/>
        </w:rPr>
        <w:t>More than six in ten adults in the UK have overweight body weight or obesity.</w:t>
      </w:r>
      <w:r>
        <w:rPr>
          <w:bCs/>
          <w:vertAlign w:val="superscript"/>
        </w:rPr>
        <w:t>4,5,6,</w:t>
      </w:r>
      <w:r>
        <w:rPr>
          <w:rStyle w:val="EndnoteReference"/>
          <w:bCs/>
        </w:rPr>
        <w:endnoteReference w:id="27"/>
      </w:r>
    </w:p>
    <w:p w14:paraId="7B67669D" w14:textId="77777777" w:rsidR="00F21187" w:rsidRDefault="00F21187" w:rsidP="00F21187">
      <w:pPr>
        <w:rPr>
          <w:bCs/>
          <w:vertAlign w:val="superscript"/>
        </w:rPr>
      </w:pPr>
      <w:r>
        <w:rPr>
          <w:bCs/>
        </w:rPr>
        <w:t>Around three in ten children (2-15 years) in the UK have overweight body weight or obesity.</w:t>
      </w:r>
      <w:r>
        <w:rPr>
          <w:bCs/>
          <w:vertAlign w:val="superscript"/>
        </w:rPr>
        <w:t>4,5,6,27</w:t>
      </w:r>
    </w:p>
    <w:p w14:paraId="48D89CF4" w14:textId="77777777" w:rsidR="00F21187" w:rsidRDefault="00F21187" w:rsidP="00F21187">
      <w:pPr>
        <w:rPr>
          <w:bCs/>
          <w:vertAlign w:val="superscript"/>
        </w:rPr>
      </w:pPr>
      <w:r>
        <w:rPr>
          <w:bCs/>
        </w:rPr>
        <w:t>Around seven in ten adults (16+) who live with a long-term</w:t>
      </w:r>
      <w:r>
        <w:rPr>
          <w:rStyle w:val="FootnoteReference"/>
          <w:bCs/>
        </w:rPr>
        <w:footnoteReference w:id="5"/>
      </w:r>
      <w:r>
        <w:rPr>
          <w:bCs/>
        </w:rPr>
        <w:t xml:space="preserve"> MSK condition have overweight body weight or obesity, compared with </w:t>
      </w:r>
      <w:r>
        <w:t>6 in 10</w:t>
      </w:r>
      <w:r>
        <w:rPr>
          <w:bCs/>
        </w:rPr>
        <w:t xml:space="preserve"> without a long-lasting health condition.</w:t>
      </w:r>
      <w:r>
        <w:rPr>
          <w:bCs/>
          <w:vertAlign w:val="superscript"/>
        </w:rPr>
        <w:t>4,5,6</w:t>
      </w:r>
    </w:p>
    <w:p w14:paraId="390A29A9" w14:textId="77777777" w:rsidR="00F21187" w:rsidRDefault="00F21187" w:rsidP="00F21187">
      <w:pPr>
        <w:rPr>
          <w:vertAlign w:val="superscript"/>
        </w:rPr>
      </w:pPr>
      <w:r>
        <w:t>69% of people living with a long-term MSK condition in England have overweight bodyweight or obesity compared to 61% of people who do not have a long-term condition.</w:t>
      </w:r>
      <w:r>
        <w:rPr>
          <w:vertAlign w:val="superscript"/>
        </w:rPr>
        <w:t>6</w:t>
      </w:r>
    </w:p>
    <w:p w14:paraId="55ED1D3F" w14:textId="77777777" w:rsidR="00F21187" w:rsidRDefault="00F21187" w:rsidP="00F21187">
      <w:pPr>
        <w:rPr>
          <w:vertAlign w:val="superscript"/>
        </w:rPr>
      </w:pPr>
      <w:r>
        <w:t>74% of people who living with a long-term MSK condition in Scotland have overweight bodyweight or obesity compared to 61% of people who do not have a long-term condition.</w:t>
      </w:r>
      <w:r>
        <w:rPr>
          <w:vertAlign w:val="superscript"/>
        </w:rPr>
        <w:t>6</w:t>
      </w:r>
    </w:p>
    <w:p w14:paraId="0487E676" w14:textId="77777777" w:rsidR="00F21187" w:rsidRDefault="00F21187" w:rsidP="00F21187">
      <w:pPr>
        <w:rPr>
          <w:vertAlign w:val="superscript"/>
        </w:rPr>
      </w:pPr>
      <w:r>
        <w:t>73% of people who living with a long-term MSK condition in Wales have overweight bodyweight or obesity compared to 54% of people who do not have a long-term condition.</w:t>
      </w:r>
      <w:r>
        <w:rPr>
          <w:vertAlign w:val="superscript"/>
        </w:rPr>
        <w:t>6</w:t>
      </w:r>
    </w:p>
    <w:p w14:paraId="6CA0F7E9" w14:textId="77777777" w:rsidR="00F21187" w:rsidRDefault="00F21187" w:rsidP="00F21187">
      <w:r>
        <w:t>Data notes:</w:t>
      </w:r>
    </w:p>
    <w:p w14:paraId="76538493" w14:textId="77777777" w:rsidR="00F21187" w:rsidRDefault="00F21187" w:rsidP="00F21187">
      <w:pPr>
        <w:pStyle w:val="FootnoteText"/>
        <w:rPr>
          <w:sz w:val="18"/>
          <w:szCs w:val="18"/>
        </w:rPr>
      </w:pPr>
      <w:r>
        <w:rPr>
          <w:sz w:val="18"/>
          <w:szCs w:val="18"/>
        </w:rPr>
        <w:t xml:space="preserve">Data is age standardised however caution should be taken when making comparisons by nation. Survey methodology and data weighting/age-standardisation techniques can vary. </w:t>
      </w:r>
    </w:p>
    <w:p w14:paraId="7D1200FF" w14:textId="77777777" w:rsidR="00F21187" w:rsidRDefault="00F21187" w:rsidP="00F21187"/>
    <w:p w14:paraId="36BD31BF" w14:textId="77777777" w:rsidR="00F21187" w:rsidRDefault="00F21187" w:rsidP="00F21187">
      <w:r>
        <w:t xml:space="preserve">Obesity directly damages weight-bearing joints, such as knees and hips, because of the abnormally high loads they </w:t>
      </w:r>
      <w:proofErr w:type="gramStart"/>
      <w:r>
        <w:t>have to</w:t>
      </w:r>
      <w:proofErr w:type="gramEnd"/>
      <w:r>
        <w:t xml:space="preserve"> carry.</w:t>
      </w:r>
      <w:r>
        <w:rPr>
          <w:rStyle w:val="EndnoteReference"/>
        </w:rPr>
        <w:endnoteReference w:id="28"/>
      </w:r>
    </w:p>
    <w:p w14:paraId="132A30A6" w14:textId="77777777" w:rsidR="00F21187" w:rsidRDefault="00F21187" w:rsidP="00F21187">
      <w:r>
        <w:t>Adolescents who have obesity are more likely to experience persistent or recurrent joint pain, including knee pain.</w:t>
      </w:r>
      <w:r>
        <w:rPr>
          <w:rStyle w:val="EndnoteReference"/>
        </w:rPr>
        <w:endnoteReference w:id="29"/>
      </w:r>
    </w:p>
    <w:p w14:paraId="549915FD" w14:textId="77777777" w:rsidR="00F21187" w:rsidRDefault="00F21187" w:rsidP="00F21187">
      <w:pPr>
        <w:rPr>
          <w:vertAlign w:val="superscript"/>
        </w:rPr>
      </w:pPr>
      <w:r>
        <w:t>Over half of adults (54%) who have high levels of obesity in England report chronic pain.</w:t>
      </w:r>
      <w:r>
        <w:rPr>
          <w:vertAlign w:val="superscript"/>
        </w:rPr>
        <w:t>17</w:t>
      </w:r>
    </w:p>
    <w:p w14:paraId="0FED61E8" w14:textId="77777777" w:rsidR="00F21187" w:rsidRDefault="00F21187" w:rsidP="00F21187">
      <w:r>
        <w:t>The average BMI of hip and knee replacement patients is 28.8 (overweight) and 31.0 (obese) respectively.</w:t>
      </w:r>
      <w:r>
        <w:rPr>
          <w:rStyle w:val="EndnoteReference"/>
        </w:rPr>
        <w:endnoteReference w:id="30"/>
      </w:r>
    </w:p>
    <w:p w14:paraId="20D1B057" w14:textId="77777777" w:rsidR="00F21187" w:rsidRDefault="00F21187" w:rsidP="00F21187">
      <w:r>
        <w:t>Compared to people who are of a healthy or normal body weight, people who have obesity are:</w:t>
      </w:r>
    </w:p>
    <w:p w14:paraId="2766AFC8" w14:textId="77777777" w:rsidR="00F21187" w:rsidRDefault="00F21187" w:rsidP="00F21187">
      <w:pPr>
        <w:pStyle w:val="ListParagraph"/>
        <w:numPr>
          <w:ilvl w:val="0"/>
          <w:numId w:val="20"/>
        </w:numPr>
      </w:pPr>
      <w:r>
        <w:rPr>
          <w:szCs w:val="24"/>
        </w:rPr>
        <w:t>Two times more likely to develop knee osteoarthritis</w:t>
      </w:r>
      <w:r>
        <w:rPr>
          <w:rStyle w:val="EndnoteReference"/>
          <w:szCs w:val="24"/>
        </w:rPr>
        <w:endnoteReference w:id="31"/>
      </w:r>
      <w:r>
        <w:rPr>
          <w:szCs w:val="24"/>
        </w:rPr>
        <w:t>, with many estimates putting the risk between four and six times greater.</w:t>
      </w:r>
      <w:r>
        <w:rPr>
          <w:rStyle w:val="EndnoteReference"/>
          <w:szCs w:val="24"/>
        </w:rPr>
        <w:endnoteReference w:id="32"/>
      </w:r>
      <w:r>
        <w:rPr>
          <w:szCs w:val="24"/>
          <w:vertAlign w:val="superscript"/>
        </w:rPr>
        <w:t>,</w:t>
      </w:r>
      <w:r>
        <w:rPr>
          <w:rStyle w:val="EndnoteReference"/>
          <w:szCs w:val="24"/>
        </w:rPr>
        <w:endnoteReference w:id="33"/>
      </w:r>
      <w:r>
        <w:rPr>
          <w:szCs w:val="24"/>
          <w:vertAlign w:val="superscript"/>
        </w:rPr>
        <w:t>,</w:t>
      </w:r>
      <w:r>
        <w:rPr>
          <w:rStyle w:val="EndnoteReference"/>
          <w:szCs w:val="24"/>
        </w:rPr>
        <w:endnoteReference w:id="34"/>
      </w:r>
    </w:p>
    <w:p w14:paraId="29724BA6" w14:textId="77777777" w:rsidR="00F21187" w:rsidRDefault="00F21187" w:rsidP="00F21187">
      <w:pPr>
        <w:pStyle w:val="ListParagraph"/>
        <w:numPr>
          <w:ilvl w:val="0"/>
          <w:numId w:val="20"/>
        </w:numPr>
      </w:pPr>
      <w:r>
        <w:rPr>
          <w:szCs w:val="24"/>
        </w:rPr>
        <w:t>1.5 to 2.5 times more likely to have back pain, rising to four times more likely among those who are highly obese.</w:t>
      </w:r>
      <w:r>
        <w:rPr>
          <w:rStyle w:val="EndnoteReference"/>
          <w:szCs w:val="24"/>
        </w:rPr>
        <w:endnoteReference w:id="35"/>
      </w:r>
      <w:r>
        <w:rPr>
          <w:szCs w:val="24"/>
          <w:vertAlign w:val="superscript"/>
        </w:rPr>
        <w:t>,</w:t>
      </w:r>
      <w:r>
        <w:rPr>
          <w:rStyle w:val="EndnoteReference"/>
          <w:szCs w:val="24"/>
        </w:rPr>
        <w:endnoteReference w:id="36"/>
      </w:r>
    </w:p>
    <w:p w14:paraId="20CCD76E" w14:textId="77777777" w:rsidR="00F21187" w:rsidRDefault="00F21187" w:rsidP="00F21187">
      <w:pPr>
        <w:pStyle w:val="ListParagraph"/>
        <w:numPr>
          <w:ilvl w:val="0"/>
          <w:numId w:val="22"/>
        </w:numPr>
        <w:rPr>
          <w:szCs w:val="24"/>
        </w:rPr>
      </w:pPr>
      <w:r>
        <w:rPr>
          <w:szCs w:val="24"/>
        </w:rPr>
        <w:t>Two times more likely to develop gout and tend to develop it at a younger age.</w:t>
      </w:r>
      <w:r>
        <w:rPr>
          <w:rStyle w:val="EndnoteReference"/>
          <w:szCs w:val="24"/>
        </w:rPr>
        <w:endnoteReference w:id="37"/>
      </w:r>
    </w:p>
    <w:p w14:paraId="6D714C4F" w14:textId="77777777" w:rsidR="00F21187" w:rsidRDefault="00F21187" w:rsidP="00F21187">
      <w:pPr>
        <w:pStyle w:val="ListParagraph"/>
        <w:numPr>
          <w:ilvl w:val="0"/>
          <w:numId w:val="22"/>
        </w:numPr>
        <w:rPr>
          <w:szCs w:val="24"/>
        </w:rPr>
      </w:pPr>
      <w:r>
        <w:rPr>
          <w:szCs w:val="24"/>
        </w:rPr>
        <w:t>At a significantly increased risk of developing rheumatoid arthritis.</w:t>
      </w:r>
      <w:r>
        <w:rPr>
          <w:rStyle w:val="EndnoteReference"/>
          <w:szCs w:val="24"/>
        </w:rPr>
        <w:endnoteReference w:id="38"/>
      </w:r>
    </w:p>
    <w:p w14:paraId="2E895921" w14:textId="77777777" w:rsidR="00F21187" w:rsidRDefault="00F21187" w:rsidP="00F21187">
      <w:pPr>
        <w:rPr>
          <w:szCs w:val="24"/>
        </w:rPr>
      </w:pPr>
    </w:p>
    <w:p w14:paraId="662D0627" w14:textId="77777777" w:rsidR="00F21187" w:rsidRDefault="00F21187" w:rsidP="00F21187">
      <w:pPr>
        <w:rPr>
          <w:szCs w:val="24"/>
        </w:rPr>
      </w:pPr>
    </w:p>
    <w:p w14:paraId="6851E4BA" w14:textId="77777777" w:rsidR="00F21187" w:rsidRDefault="00F21187" w:rsidP="00F21187">
      <w:pPr>
        <w:rPr>
          <w:szCs w:val="24"/>
        </w:rPr>
      </w:pPr>
    </w:p>
    <w:p w14:paraId="28C09641" w14:textId="77777777" w:rsidR="00F21187" w:rsidRDefault="00F21187" w:rsidP="00F21187">
      <w:pPr>
        <w:pStyle w:val="Heading2"/>
        <w:rPr>
          <w:rFonts w:eastAsiaTheme="minorEastAsia"/>
          <w:bCs/>
        </w:rPr>
      </w:pPr>
      <w:bookmarkStart w:id="19" w:name="_Toc85547760"/>
      <w:r>
        <w:rPr>
          <w:rFonts w:eastAsiaTheme="minorEastAsia"/>
          <w:bCs/>
        </w:rPr>
        <w:t>Multiple long-term conditions</w:t>
      </w:r>
      <w:bookmarkEnd w:id="19"/>
    </w:p>
    <w:p w14:paraId="7F50F78D" w14:textId="77777777" w:rsidR="00F21187" w:rsidRDefault="00F21187" w:rsidP="00F21187">
      <w:pPr>
        <w:rPr>
          <w:rFonts w:cs="Arial"/>
          <w:color w:val="70AD47" w:themeColor="accent6"/>
          <w:szCs w:val="24"/>
        </w:rPr>
      </w:pPr>
      <w:r>
        <w:rPr>
          <w:rFonts w:cs="Arial"/>
          <w:szCs w:val="24"/>
        </w:rPr>
        <w:t xml:space="preserve">The number of people living with two or more long-term conditions (multimorbidity) is growing increasingly common. </w:t>
      </w:r>
    </w:p>
    <w:p w14:paraId="6035E869" w14:textId="77777777" w:rsidR="00F21187" w:rsidRDefault="00F21187" w:rsidP="00F21187">
      <w:pPr>
        <w:rPr>
          <w:rFonts w:cs="Arial"/>
          <w:szCs w:val="24"/>
        </w:rPr>
      </w:pPr>
      <w:r>
        <w:rPr>
          <w:rFonts w:cs="Arial"/>
          <w:szCs w:val="24"/>
        </w:rPr>
        <w:lastRenderedPageBreak/>
        <w:t>One in four adults are living with two or more long-term</w:t>
      </w:r>
      <w:r>
        <w:rPr>
          <w:rStyle w:val="FootnoteReference"/>
          <w:rFonts w:cs="Arial"/>
          <w:szCs w:val="24"/>
        </w:rPr>
        <w:footnoteReference w:id="6"/>
      </w:r>
      <w:r>
        <w:rPr>
          <w:rFonts w:cs="Arial"/>
          <w:szCs w:val="24"/>
        </w:rPr>
        <w:t xml:space="preserve"> conditions in the UK.</w:t>
      </w:r>
      <w:r>
        <w:rPr>
          <w:rStyle w:val="EndnoteReference"/>
          <w:rFonts w:cs="Arial"/>
          <w:szCs w:val="24"/>
        </w:rPr>
        <w:endnoteReference w:id="39"/>
      </w:r>
      <w:r>
        <w:rPr>
          <w:rFonts w:cs="Arial"/>
          <w:szCs w:val="24"/>
          <w:vertAlign w:val="superscript"/>
        </w:rPr>
        <w:t xml:space="preserve">, </w:t>
      </w:r>
      <w:r>
        <w:rPr>
          <w:rStyle w:val="EndnoteReference"/>
          <w:rFonts w:cs="Arial"/>
          <w:szCs w:val="24"/>
        </w:rPr>
        <w:endnoteReference w:id="40"/>
      </w:r>
    </w:p>
    <w:p w14:paraId="0F21FEA8" w14:textId="77777777" w:rsidR="00F21187" w:rsidRDefault="00F21187" w:rsidP="00F21187">
      <w:pPr>
        <w:rPr>
          <w:rFonts w:cs="Arial"/>
          <w:szCs w:val="24"/>
        </w:rPr>
      </w:pPr>
      <w:r>
        <w:rPr>
          <w:rFonts w:cs="Arial"/>
          <w:szCs w:val="24"/>
        </w:rPr>
        <w:t>The prevalence of multimorbidity increases with increasing age</w:t>
      </w:r>
    </w:p>
    <w:p w14:paraId="263325D6" w14:textId="77777777" w:rsidR="00F21187" w:rsidRDefault="00F21187" w:rsidP="00F21187">
      <w:pPr>
        <w:rPr>
          <w:rFonts w:cs="Arial"/>
          <w:szCs w:val="24"/>
        </w:rPr>
      </w:pPr>
      <w:r>
        <w:rPr>
          <w:rFonts w:cs="Arial"/>
          <w:szCs w:val="24"/>
        </w:rPr>
        <w:t>One in three adults (34%) aged 46-48 years in Britain have multimorbidity in mid-life.</w:t>
      </w:r>
      <w:r>
        <w:rPr>
          <w:rStyle w:val="EndnoteReference"/>
          <w:rFonts w:cs="Arial"/>
          <w:szCs w:val="24"/>
        </w:rPr>
        <w:endnoteReference w:id="41"/>
      </w:r>
    </w:p>
    <w:p w14:paraId="133F3C11" w14:textId="77777777" w:rsidR="00F21187" w:rsidRDefault="00F21187" w:rsidP="00F21187">
      <w:pPr>
        <w:rPr>
          <w:rFonts w:cs="Arial"/>
          <w:szCs w:val="24"/>
          <w:vertAlign w:val="superscript"/>
        </w:rPr>
      </w:pPr>
      <w:r>
        <w:rPr>
          <w:rFonts w:cs="Arial"/>
          <w:szCs w:val="24"/>
        </w:rPr>
        <w:t xml:space="preserve">Six in ten people aged 65–84 years have multimorbidity rising to 8 in </w:t>
      </w:r>
      <w:proofErr w:type="gramStart"/>
      <w:r>
        <w:rPr>
          <w:rFonts w:cs="Arial"/>
          <w:szCs w:val="24"/>
        </w:rPr>
        <w:t>10  people</w:t>
      </w:r>
      <w:proofErr w:type="gramEnd"/>
      <w:r>
        <w:rPr>
          <w:rFonts w:cs="Arial"/>
          <w:szCs w:val="24"/>
        </w:rPr>
        <w:t xml:space="preserve"> aged 85 years or over.</w:t>
      </w:r>
      <w:r>
        <w:rPr>
          <w:rFonts w:cs="Arial"/>
          <w:szCs w:val="24"/>
          <w:vertAlign w:val="superscript"/>
        </w:rPr>
        <w:t>39, 40</w:t>
      </w:r>
    </w:p>
    <w:p w14:paraId="7BF009ED" w14:textId="77777777" w:rsidR="00F21187" w:rsidRDefault="00F21187" w:rsidP="00F21187">
      <w:pPr>
        <w:rPr>
          <w:rFonts w:cs="Arial"/>
          <w:szCs w:val="24"/>
        </w:rPr>
      </w:pPr>
      <w:r>
        <w:rPr>
          <w:rFonts w:cs="Arial"/>
          <w:szCs w:val="24"/>
        </w:rPr>
        <w:t>By 2035, the number of people aged over 65 years in England living with multimorbidity is expected to increase from 54% in 2015 to 68%.</w:t>
      </w:r>
      <w:r>
        <w:rPr>
          <w:rFonts w:cs="Arial"/>
          <w:szCs w:val="24"/>
          <w:vertAlign w:val="superscript"/>
        </w:rPr>
        <w:t>40</w:t>
      </w:r>
    </w:p>
    <w:p w14:paraId="42B9BA51" w14:textId="77777777" w:rsidR="00F21187" w:rsidRDefault="00F21187" w:rsidP="00F21187">
      <w:pPr>
        <w:rPr>
          <w:rFonts w:cs="Arial"/>
          <w:szCs w:val="24"/>
        </w:rPr>
      </w:pPr>
      <w:r>
        <w:rPr>
          <w:rFonts w:cs="Arial"/>
          <w:szCs w:val="24"/>
        </w:rPr>
        <w:t>Multimorbidity is significantly associated with higher social deprivation.</w:t>
      </w:r>
    </w:p>
    <w:p w14:paraId="6A2D7A95" w14:textId="77777777" w:rsidR="00F21187" w:rsidRDefault="00F21187" w:rsidP="00F21187">
      <w:pPr>
        <w:rPr>
          <w:rFonts w:cs="Arial"/>
          <w:color w:val="70AD47" w:themeColor="accent6"/>
          <w:szCs w:val="24"/>
        </w:rPr>
      </w:pPr>
      <w:r>
        <w:rPr>
          <w:rFonts w:cs="Arial"/>
          <w:szCs w:val="24"/>
        </w:rPr>
        <w:t>People living in the most deprived areas are significantly more likely to report two or more conditions</w:t>
      </w:r>
      <w:r>
        <w:rPr>
          <w:rFonts w:cs="Arial"/>
          <w:szCs w:val="24"/>
          <w:vertAlign w:val="superscript"/>
        </w:rPr>
        <w:t>39</w:t>
      </w:r>
      <w:r>
        <w:rPr>
          <w:rFonts w:cs="Arial"/>
          <w:szCs w:val="24"/>
        </w:rPr>
        <w:t xml:space="preserve"> and can expect to develop them 10-15 years earlier than those in the least deprived.</w:t>
      </w:r>
      <w:r>
        <w:rPr>
          <w:rFonts w:cs="Arial"/>
          <w:szCs w:val="24"/>
          <w:vertAlign w:val="superscript"/>
        </w:rPr>
        <w:t>40</w:t>
      </w:r>
    </w:p>
    <w:p w14:paraId="6DC49911" w14:textId="77777777" w:rsidR="00F21187" w:rsidRDefault="00F21187" w:rsidP="00F21187">
      <w:pPr>
        <w:rPr>
          <w:rFonts w:cs="Arial"/>
          <w:szCs w:val="24"/>
        </w:rPr>
      </w:pPr>
      <w:r>
        <w:rPr>
          <w:rFonts w:cs="Arial"/>
          <w:szCs w:val="24"/>
        </w:rPr>
        <w:t>Adults from a more disadvantaged social class</w:t>
      </w:r>
      <w:r>
        <w:rPr>
          <w:rStyle w:val="FootnoteReference"/>
          <w:rFonts w:cs="Arial"/>
          <w:szCs w:val="24"/>
        </w:rPr>
        <w:footnoteReference w:id="7"/>
      </w:r>
      <w:r>
        <w:rPr>
          <w:rFonts w:cs="Arial"/>
          <w:szCs w:val="24"/>
        </w:rPr>
        <w:t xml:space="preserve"> are up to 43% greater risk of having multimorbidity in midlife (46-48 years) compared to those from a less disadvantaged social class.</w:t>
      </w:r>
      <w:r>
        <w:rPr>
          <w:rFonts w:cs="Arial"/>
          <w:szCs w:val="24"/>
          <w:vertAlign w:val="superscript"/>
        </w:rPr>
        <w:t xml:space="preserve">41  </w:t>
      </w:r>
    </w:p>
    <w:p w14:paraId="2A311371" w14:textId="77777777" w:rsidR="00F21187" w:rsidRDefault="00F21187" w:rsidP="00F21187">
      <w:pPr>
        <w:rPr>
          <w:rFonts w:cs="Arial"/>
          <w:szCs w:val="24"/>
        </w:rPr>
      </w:pPr>
      <w:r>
        <w:rPr>
          <w:rFonts w:cs="Arial"/>
          <w:szCs w:val="24"/>
        </w:rPr>
        <w:t>MSK conditions are very common in people with multiple long-term conditions.</w:t>
      </w:r>
    </w:p>
    <w:p w14:paraId="37C3B00A" w14:textId="77777777" w:rsidR="00F21187" w:rsidRDefault="00F21187" w:rsidP="00F21187">
      <w:pPr>
        <w:rPr>
          <w:rFonts w:cs="Arial"/>
          <w:szCs w:val="24"/>
        </w:rPr>
      </w:pPr>
      <w:r>
        <w:rPr>
          <w:rFonts w:cs="Arial"/>
          <w:szCs w:val="24"/>
        </w:rPr>
        <w:t>Four in ten people with multimorbidity are living with a physical and a mental health condition.</w:t>
      </w:r>
      <w:r>
        <w:rPr>
          <w:rFonts w:cs="Arial"/>
          <w:szCs w:val="24"/>
          <w:vertAlign w:val="superscript"/>
        </w:rPr>
        <w:t>39,40</w:t>
      </w:r>
    </w:p>
    <w:p w14:paraId="69454F3D" w14:textId="77777777" w:rsidR="00F21187" w:rsidRDefault="00F21187" w:rsidP="00F21187">
      <w:pPr>
        <w:rPr>
          <w:rFonts w:cs="Arial"/>
          <w:szCs w:val="24"/>
        </w:rPr>
      </w:pPr>
      <w:r>
        <w:rPr>
          <w:rFonts w:cs="Arial"/>
          <w:szCs w:val="24"/>
        </w:rPr>
        <w:t>One in five adults (21%) aged 46-48 in Britain with multimorbidity have recurrent back issues and 1 in every 13 (8%) have arthritis at midlife.</w:t>
      </w:r>
      <w:r>
        <w:rPr>
          <w:rFonts w:cs="Arial"/>
          <w:szCs w:val="24"/>
          <w:vertAlign w:val="superscript"/>
        </w:rPr>
        <w:t>41</w:t>
      </w:r>
    </w:p>
    <w:p w14:paraId="22FDCEAC" w14:textId="77777777" w:rsidR="00F21187" w:rsidRDefault="00F21187" w:rsidP="00F21187">
      <w:pPr>
        <w:rPr>
          <w:rFonts w:cs="Arial"/>
          <w:szCs w:val="24"/>
        </w:rPr>
      </w:pPr>
      <w:r>
        <w:rPr>
          <w:rFonts w:cs="Arial"/>
          <w:szCs w:val="24"/>
        </w:rPr>
        <w:t>One in eight people (13.2%) in England report living with at least two long-term conditions, one of which is MSK related.</w:t>
      </w:r>
      <w:r>
        <w:rPr>
          <w:rStyle w:val="EndnoteReference"/>
          <w:rFonts w:cs="Arial"/>
          <w:szCs w:val="24"/>
        </w:rPr>
        <w:endnoteReference w:id="42"/>
      </w:r>
      <w:r>
        <w:rPr>
          <w:rFonts w:cs="Arial"/>
          <w:szCs w:val="24"/>
        </w:rPr>
        <w:t xml:space="preserve"> </w:t>
      </w:r>
    </w:p>
    <w:p w14:paraId="7DEE6B75" w14:textId="77777777" w:rsidR="00F21187" w:rsidRDefault="00F21187" w:rsidP="00F21187">
      <w:pPr>
        <w:rPr>
          <w:rFonts w:cs="Arial"/>
          <w:color w:val="70AD47" w:themeColor="accent6"/>
          <w:szCs w:val="24"/>
        </w:rPr>
      </w:pPr>
      <w:r>
        <w:rPr>
          <w:rFonts w:cs="Arial"/>
          <w:szCs w:val="24"/>
        </w:rPr>
        <w:t>Among people aged over 45 in England who report living with a major long-term condition, more than 3 in 10 also have an MSK condition, increasing to almost 5 in 10 people among those aged 65 plus.</w:t>
      </w:r>
      <w:r>
        <w:rPr>
          <w:rStyle w:val="EndnoteReference"/>
          <w:rFonts w:cs="Arial"/>
          <w:szCs w:val="24"/>
        </w:rPr>
        <w:endnoteReference w:id="43"/>
      </w:r>
      <w:r>
        <w:rPr>
          <w:rFonts w:cs="Arial"/>
          <w:color w:val="70AD47" w:themeColor="accent6"/>
          <w:szCs w:val="24"/>
        </w:rPr>
        <w:t xml:space="preserve"> </w:t>
      </w:r>
    </w:p>
    <w:p w14:paraId="3E9D5294" w14:textId="77777777" w:rsidR="00F21187" w:rsidRDefault="00F21187" w:rsidP="00F21187">
      <w:pPr>
        <w:rPr>
          <w:rFonts w:cs="Arial"/>
          <w:szCs w:val="24"/>
        </w:rPr>
      </w:pPr>
      <w:r>
        <w:rPr>
          <w:rFonts w:cs="Arial"/>
          <w:szCs w:val="24"/>
        </w:rPr>
        <w:t>People with osteoarthritis are 1.2 times more likely to have any additional long-term condition than people without osteoarthritis and 2.5 times more likely to have three or more additional conditions.</w:t>
      </w:r>
      <w:r>
        <w:rPr>
          <w:rStyle w:val="EndnoteReference"/>
          <w:rFonts w:cs="Arial"/>
          <w:szCs w:val="24"/>
        </w:rPr>
        <w:endnoteReference w:id="44"/>
      </w:r>
    </w:p>
    <w:p w14:paraId="3475C0F9" w14:textId="77777777" w:rsidR="00F21187" w:rsidRDefault="00F21187" w:rsidP="00F21187">
      <w:pPr>
        <w:pStyle w:val="Heading1"/>
        <w:rPr>
          <w:rFonts w:eastAsiaTheme="minorEastAsia"/>
        </w:rPr>
      </w:pPr>
      <w:bookmarkStart w:id="20" w:name="_Toc85547761"/>
      <w:r>
        <w:rPr>
          <w:rFonts w:eastAsiaTheme="minorEastAsia"/>
        </w:rPr>
        <w:t>08 Impact</w:t>
      </w:r>
      <w:bookmarkEnd w:id="20"/>
    </w:p>
    <w:p w14:paraId="2478D5B1" w14:textId="77777777" w:rsidR="00F21187" w:rsidRDefault="00F21187" w:rsidP="00F21187">
      <w:pPr>
        <w:pStyle w:val="Heading2"/>
        <w:rPr>
          <w:rFonts w:eastAsiaTheme="minorEastAsia"/>
        </w:rPr>
      </w:pPr>
      <w:bookmarkStart w:id="21" w:name="_Toc83807389"/>
      <w:bookmarkStart w:id="22" w:name="_Toc83890164"/>
      <w:bookmarkStart w:id="23" w:name="_Toc85547762"/>
      <w:r>
        <w:rPr>
          <w:rFonts w:eastAsiaTheme="minorEastAsia"/>
        </w:rPr>
        <w:t>Quality of life</w:t>
      </w:r>
      <w:bookmarkEnd w:id="21"/>
      <w:bookmarkEnd w:id="22"/>
      <w:bookmarkEnd w:id="23"/>
    </w:p>
    <w:p w14:paraId="4AAABAD8" w14:textId="77777777" w:rsidR="00F21187" w:rsidRDefault="00F21187" w:rsidP="00F21187">
      <w:pPr>
        <w:spacing w:after="0" w:line="240" w:lineRule="auto"/>
        <w:rPr>
          <w:rFonts w:cs="Arial"/>
          <w:szCs w:val="24"/>
        </w:rPr>
      </w:pPr>
      <w:r>
        <w:rPr>
          <w:rFonts w:cs="Arial"/>
          <w:szCs w:val="24"/>
        </w:rPr>
        <w:t xml:space="preserve">The pain and fatigue caused by arthritis and related MSK conditions result in a substantial reduction in quality of life.  </w:t>
      </w:r>
    </w:p>
    <w:p w14:paraId="12CEDE9E" w14:textId="77777777" w:rsidR="00F21187" w:rsidRDefault="00F21187" w:rsidP="00F21187">
      <w:pPr>
        <w:spacing w:after="0" w:line="240" w:lineRule="auto"/>
        <w:rPr>
          <w:rFonts w:cs="Arial"/>
          <w:szCs w:val="24"/>
        </w:rPr>
      </w:pPr>
    </w:p>
    <w:p w14:paraId="253F0753" w14:textId="77777777" w:rsidR="00F21187" w:rsidRDefault="00F21187" w:rsidP="00F21187">
      <w:pPr>
        <w:spacing w:after="0" w:line="240" w:lineRule="auto"/>
        <w:rPr>
          <w:rFonts w:cs="Arial"/>
          <w:szCs w:val="24"/>
        </w:rPr>
      </w:pPr>
    </w:p>
    <w:p w14:paraId="7E08D044" w14:textId="77777777" w:rsidR="00F21187" w:rsidRDefault="00F21187" w:rsidP="00F21187">
      <w:pPr>
        <w:spacing w:after="0" w:line="240" w:lineRule="auto"/>
        <w:rPr>
          <w:rFonts w:cs="Arial"/>
          <w:szCs w:val="24"/>
        </w:rPr>
      </w:pPr>
    </w:p>
    <w:p w14:paraId="332ACE18" w14:textId="77777777" w:rsidR="00F21187" w:rsidRDefault="00F21187" w:rsidP="00F21187">
      <w:pPr>
        <w:spacing w:after="0" w:line="240" w:lineRule="auto"/>
        <w:rPr>
          <w:rFonts w:cs="Arial"/>
          <w:szCs w:val="24"/>
        </w:rPr>
      </w:pPr>
    </w:p>
    <w:p w14:paraId="0C313F45" w14:textId="77777777" w:rsidR="00F21187" w:rsidRDefault="00F21187" w:rsidP="00F21187">
      <w:pPr>
        <w:spacing w:after="0" w:line="240" w:lineRule="auto"/>
        <w:rPr>
          <w:rFonts w:cs="Arial"/>
          <w:szCs w:val="24"/>
          <w:vertAlign w:val="superscript"/>
        </w:rPr>
      </w:pPr>
      <w:r>
        <w:rPr>
          <w:rFonts w:cs="Arial"/>
          <w:szCs w:val="24"/>
        </w:rPr>
        <w:t>21% of years lived with disability (YLDs) in the UK are accounted for by MSK conditions.</w:t>
      </w:r>
      <w:r>
        <w:rPr>
          <w:rFonts w:cs="Arial"/>
          <w:szCs w:val="24"/>
          <w:vertAlign w:val="superscript"/>
        </w:rPr>
        <w:t>1</w:t>
      </w:r>
    </w:p>
    <w:p w14:paraId="5854F7A8" w14:textId="77777777" w:rsidR="00F21187" w:rsidRDefault="00F21187" w:rsidP="00F21187">
      <w:pPr>
        <w:spacing w:after="0" w:line="240" w:lineRule="auto"/>
        <w:rPr>
          <w:rFonts w:cs="Arial"/>
          <w:szCs w:val="24"/>
          <w:vertAlign w:val="superscript"/>
        </w:rPr>
      </w:pPr>
    </w:p>
    <w:p w14:paraId="4EADCDB5" w14:textId="77777777" w:rsidR="00F21187" w:rsidRDefault="00F21187" w:rsidP="00F21187">
      <w:pPr>
        <w:spacing w:after="0" w:line="240" w:lineRule="auto"/>
        <w:rPr>
          <w:rFonts w:cs="Arial"/>
          <w:szCs w:val="24"/>
          <w:vertAlign w:val="superscript"/>
        </w:rPr>
      </w:pPr>
      <w:r>
        <w:rPr>
          <w:rFonts w:cs="Arial"/>
          <w:szCs w:val="24"/>
        </w:rPr>
        <w:t>Low back pain remains the leading cause of years lived with disability (YLDs).</w:t>
      </w:r>
      <w:r>
        <w:rPr>
          <w:rFonts w:cs="Arial"/>
          <w:szCs w:val="24"/>
          <w:vertAlign w:val="superscript"/>
        </w:rPr>
        <w:t>1</w:t>
      </w:r>
    </w:p>
    <w:p w14:paraId="7CB9853F" w14:textId="77777777" w:rsidR="00F21187" w:rsidRDefault="00F21187" w:rsidP="00F21187">
      <w:pPr>
        <w:spacing w:after="0" w:line="240" w:lineRule="auto"/>
        <w:rPr>
          <w:rFonts w:cs="Arial"/>
          <w:szCs w:val="24"/>
          <w:vertAlign w:val="superscript"/>
        </w:rPr>
      </w:pPr>
    </w:p>
    <w:p w14:paraId="7439C2B0" w14:textId="77777777" w:rsidR="00F21187" w:rsidRDefault="00F21187" w:rsidP="00F21187">
      <w:pPr>
        <w:spacing w:after="0" w:line="240" w:lineRule="auto"/>
        <w:rPr>
          <w:rFonts w:cs="Arial"/>
          <w:szCs w:val="24"/>
        </w:rPr>
      </w:pPr>
      <w:r>
        <w:rPr>
          <w:rFonts w:ascii="Calibri" w:eastAsia="Times New Roman" w:hAnsi="Calibri" w:cs="Calibri"/>
          <w:szCs w:val="24"/>
          <w:lang w:eastAsia="en-GB"/>
        </w:rPr>
        <w:t>Top 10 UK causes of YLDs</w:t>
      </w:r>
    </w:p>
    <w:p w14:paraId="66EEBD11" w14:textId="77777777" w:rsidR="00F21187" w:rsidRDefault="00F21187" w:rsidP="00F21187">
      <w:pPr>
        <w:spacing w:after="0" w:line="240" w:lineRule="auto"/>
        <w:rPr>
          <w:rFonts w:cs="Arial"/>
          <w:szCs w:val="24"/>
          <w:vertAlign w:val="superscript"/>
        </w:rPr>
      </w:pPr>
    </w:p>
    <w:tbl>
      <w:tblPr>
        <w:tblStyle w:val="TableGridLight"/>
        <w:tblpPr w:leftFromText="180" w:rightFromText="180" w:vertAnchor="text" w:horzAnchor="margin" w:tblpY="-15"/>
        <w:tblW w:w="3969" w:type="dxa"/>
        <w:tblInd w:w="0" w:type="dxa"/>
        <w:tblLook w:val="04A0" w:firstRow="1" w:lastRow="0" w:firstColumn="1" w:lastColumn="0" w:noHBand="0" w:noVBand="1"/>
      </w:tblPr>
      <w:tblGrid>
        <w:gridCol w:w="440"/>
        <w:gridCol w:w="3529"/>
      </w:tblGrid>
      <w:tr w:rsidR="00F21187" w14:paraId="5D8C79AB"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81B00"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lastRenderedPageBreak/>
              <w:t>1</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90C96F" w14:textId="77777777" w:rsidR="00F21187" w:rsidRDefault="00F21187">
            <w:pPr>
              <w:spacing w:line="240" w:lineRule="auto"/>
              <w:rPr>
                <w:rFonts w:ascii="Calibri" w:eastAsia="Times New Roman" w:hAnsi="Calibri" w:cs="Calibri"/>
                <w:b/>
                <w:bCs/>
                <w:sz w:val="22"/>
                <w:lang w:eastAsia="en-GB"/>
              </w:rPr>
            </w:pPr>
            <w:r>
              <w:rPr>
                <w:rFonts w:ascii="Calibri" w:eastAsia="Times New Roman" w:hAnsi="Calibri" w:cs="Calibri"/>
                <w:b/>
                <w:bCs/>
                <w:sz w:val="22"/>
                <w:lang w:eastAsia="en-GB"/>
              </w:rPr>
              <w:t>Low back pain</w:t>
            </w:r>
          </w:p>
        </w:tc>
      </w:tr>
      <w:tr w:rsidR="00F21187" w14:paraId="12A33D39"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486DC"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2</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1569BC9"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 xml:space="preserve">Diabetes </w:t>
            </w:r>
          </w:p>
        </w:tc>
      </w:tr>
      <w:tr w:rsidR="00F21187" w14:paraId="7981061A"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7066F6"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3</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2AA822"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Depressive disorders</w:t>
            </w:r>
          </w:p>
        </w:tc>
      </w:tr>
      <w:tr w:rsidR="00F21187" w14:paraId="07F416AC"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D406E8"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4</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19EF0A"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Headache disorders</w:t>
            </w:r>
          </w:p>
        </w:tc>
      </w:tr>
      <w:tr w:rsidR="00F21187" w14:paraId="54AC76F5"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67543"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5</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9D6EB3" w14:textId="77777777" w:rsidR="00F21187" w:rsidRDefault="00F21187">
            <w:pPr>
              <w:spacing w:line="240" w:lineRule="auto"/>
              <w:rPr>
                <w:rFonts w:ascii="Calibri" w:eastAsia="Times New Roman" w:hAnsi="Calibri" w:cs="Calibri"/>
                <w:b/>
                <w:bCs/>
                <w:sz w:val="22"/>
                <w:lang w:eastAsia="en-GB"/>
              </w:rPr>
            </w:pPr>
            <w:r>
              <w:rPr>
                <w:rFonts w:ascii="Calibri" w:eastAsia="Times New Roman" w:hAnsi="Calibri" w:cs="Calibri"/>
                <w:b/>
                <w:bCs/>
                <w:sz w:val="22"/>
                <w:lang w:eastAsia="en-GB"/>
              </w:rPr>
              <w:t>Falls</w:t>
            </w:r>
          </w:p>
        </w:tc>
      </w:tr>
      <w:tr w:rsidR="00F21187" w14:paraId="75144330"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C7C1A"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6</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11EF40" w14:textId="77777777" w:rsidR="00F21187" w:rsidRDefault="00F21187">
            <w:pPr>
              <w:spacing w:line="240" w:lineRule="auto"/>
              <w:rPr>
                <w:rFonts w:ascii="Calibri" w:eastAsia="Times New Roman" w:hAnsi="Calibri" w:cs="Calibri"/>
                <w:b/>
                <w:bCs/>
                <w:sz w:val="22"/>
                <w:lang w:eastAsia="en-GB"/>
              </w:rPr>
            </w:pPr>
            <w:r>
              <w:rPr>
                <w:rFonts w:ascii="Calibri" w:eastAsia="Times New Roman" w:hAnsi="Calibri" w:cs="Calibri"/>
                <w:b/>
                <w:bCs/>
                <w:sz w:val="22"/>
                <w:lang w:eastAsia="en-GB"/>
              </w:rPr>
              <w:t>Neck pain</w:t>
            </w:r>
          </w:p>
        </w:tc>
      </w:tr>
      <w:tr w:rsidR="00F21187" w14:paraId="002B855D"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27995"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7</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DF0765"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Age-related hearing loss</w:t>
            </w:r>
          </w:p>
        </w:tc>
      </w:tr>
      <w:tr w:rsidR="00F21187" w14:paraId="0E5C19C4"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7E1D5"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8</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8F5FD3" w14:textId="77777777" w:rsidR="00F21187" w:rsidRDefault="00F21187">
            <w:pPr>
              <w:spacing w:line="240" w:lineRule="auto"/>
              <w:rPr>
                <w:rFonts w:ascii="Calibri" w:eastAsia="Times New Roman" w:hAnsi="Calibri" w:cs="Calibri"/>
                <w:b/>
                <w:bCs/>
                <w:sz w:val="22"/>
                <w:lang w:eastAsia="en-GB"/>
              </w:rPr>
            </w:pPr>
            <w:r>
              <w:rPr>
                <w:rFonts w:ascii="Calibri" w:eastAsia="Times New Roman" w:hAnsi="Calibri" w:cs="Calibri"/>
                <w:b/>
                <w:bCs/>
                <w:sz w:val="22"/>
                <w:lang w:eastAsia="en-GB"/>
              </w:rPr>
              <w:t>Osteoarthritis</w:t>
            </w:r>
          </w:p>
        </w:tc>
      </w:tr>
      <w:tr w:rsidR="00F21187" w14:paraId="5FBC270D"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52E32"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9</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DA24A2" w14:textId="77777777" w:rsidR="00F21187" w:rsidRDefault="00F21187">
            <w:pPr>
              <w:spacing w:line="240" w:lineRule="auto"/>
              <w:rPr>
                <w:rFonts w:ascii="Calibri" w:eastAsia="Times New Roman" w:hAnsi="Calibri" w:cs="Calibri"/>
                <w:b/>
                <w:bCs/>
                <w:sz w:val="22"/>
                <w:lang w:eastAsia="en-GB"/>
              </w:rPr>
            </w:pPr>
            <w:r>
              <w:rPr>
                <w:rFonts w:ascii="Calibri" w:eastAsia="Times New Roman" w:hAnsi="Calibri" w:cs="Calibri"/>
                <w:b/>
                <w:bCs/>
                <w:sz w:val="22"/>
                <w:lang w:eastAsia="en-GB"/>
              </w:rPr>
              <w:t>Other musculoskeletal conditions</w:t>
            </w:r>
          </w:p>
        </w:tc>
      </w:tr>
      <w:tr w:rsidR="00F21187" w14:paraId="1FA68628" w14:textId="77777777" w:rsidTr="00F21187">
        <w:trPr>
          <w:trHeight w:val="170"/>
        </w:trPr>
        <w:tc>
          <w:tcPr>
            <w:tcW w:w="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31382" w14:textId="77777777" w:rsidR="00F21187" w:rsidRDefault="00F21187">
            <w:pPr>
              <w:spacing w:line="240" w:lineRule="auto"/>
              <w:rPr>
                <w:rFonts w:ascii="Calibri" w:eastAsia="Times New Roman" w:hAnsi="Calibri" w:cs="Calibri"/>
                <w:sz w:val="22"/>
                <w:lang w:eastAsia="en-GB"/>
              </w:rPr>
            </w:pPr>
            <w:r>
              <w:rPr>
                <w:rFonts w:ascii="Calibri" w:eastAsia="Times New Roman" w:hAnsi="Calibri" w:cs="Calibri"/>
                <w:sz w:val="22"/>
                <w:lang w:eastAsia="en-GB"/>
              </w:rPr>
              <w:t>10</w:t>
            </w:r>
          </w:p>
        </w:tc>
        <w:tc>
          <w:tcPr>
            <w:tcW w:w="3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8050BF" w14:textId="77777777" w:rsidR="00F21187" w:rsidRDefault="00F21187">
            <w:pPr>
              <w:spacing w:line="240" w:lineRule="auto"/>
              <w:rPr>
                <w:rFonts w:ascii="Calibri" w:eastAsia="Times New Roman" w:hAnsi="Calibri" w:cs="Calibri"/>
                <w:sz w:val="22"/>
                <w:lang w:eastAsia="en-GB"/>
              </w:rPr>
            </w:pPr>
            <w:proofErr w:type="spellStart"/>
            <w:r>
              <w:rPr>
                <w:rFonts w:ascii="Calibri" w:eastAsia="Times New Roman" w:hAnsi="Calibri" w:cs="Calibri"/>
                <w:sz w:val="22"/>
                <w:lang w:eastAsia="en-GB"/>
              </w:rPr>
              <w:t>Gynaecological</w:t>
            </w:r>
            <w:proofErr w:type="spellEnd"/>
          </w:p>
        </w:tc>
      </w:tr>
    </w:tbl>
    <w:p w14:paraId="52756D0B" w14:textId="77777777" w:rsidR="00F21187" w:rsidRDefault="00F21187" w:rsidP="00F21187">
      <w:pPr>
        <w:spacing w:after="0" w:line="240" w:lineRule="auto"/>
        <w:rPr>
          <w:rFonts w:cs="Arial"/>
          <w:szCs w:val="24"/>
        </w:rPr>
      </w:pPr>
    </w:p>
    <w:p w14:paraId="7DE527E4" w14:textId="77777777" w:rsidR="00F21187" w:rsidRDefault="00F21187" w:rsidP="00F21187">
      <w:pPr>
        <w:spacing w:after="0" w:line="240" w:lineRule="auto"/>
        <w:rPr>
          <w:rFonts w:cs="Arial"/>
          <w:szCs w:val="24"/>
        </w:rPr>
      </w:pPr>
    </w:p>
    <w:p w14:paraId="5B38616B" w14:textId="77777777" w:rsidR="00F21187" w:rsidRDefault="00F21187" w:rsidP="00F21187">
      <w:pPr>
        <w:spacing w:after="0" w:line="240" w:lineRule="auto"/>
        <w:rPr>
          <w:rFonts w:cs="Arial"/>
          <w:b/>
          <w:bCs/>
          <w:szCs w:val="24"/>
        </w:rPr>
      </w:pPr>
    </w:p>
    <w:p w14:paraId="1CFE2EFF" w14:textId="77777777" w:rsidR="00F21187" w:rsidRDefault="00F21187" w:rsidP="00F21187"/>
    <w:p w14:paraId="5E5DC068" w14:textId="77777777" w:rsidR="00F21187" w:rsidRDefault="00F21187" w:rsidP="00F21187"/>
    <w:p w14:paraId="4DAB3278" w14:textId="77777777" w:rsidR="00F21187" w:rsidRDefault="00F21187" w:rsidP="00F21187"/>
    <w:p w14:paraId="3BBBF385" w14:textId="77777777" w:rsidR="00F21187" w:rsidRDefault="00F21187" w:rsidP="00F21187"/>
    <w:p w14:paraId="347A0B8F" w14:textId="77777777" w:rsidR="00F21187" w:rsidRDefault="00F21187" w:rsidP="00F21187"/>
    <w:p w14:paraId="491A4969" w14:textId="77777777" w:rsidR="00F21187" w:rsidRDefault="00F21187" w:rsidP="00F21187"/>
    <w:p w14:paraId="107F2088" w14:textId="77777777" w:rsidR="00F21187" w:rsidRDefault="00F21187" w:rsidP="00F21187">
      <w:pPr>
        <w:rPr>
          <w:vertAlign w:val="superscript"/>
        </w:rPr>
      </w:pPr>
      <w:r>
        <w:t>22% of people we surveyed with MSK conditions describe their general health as bad or very bad</w:t>
      </w:r>
      <w:r>
        <w:rPr>
          <w:vertAlign w:val="superscript"/>
        </w:rPr>
        <w:t xml:space="preserve">24 </w:t>
      </w:r>
      <w:r>
        <w:t>compared with around 7% of people in UK overall.</w:t>
      </w:r>
      <w:r>
        <w:rPr>
          <w:vertAlign w:val="superscript"/>
        </w:rPr>
        <w:t>4,5,6,27</w:t>
      </w:r>
    </w:p>
    <w:p w14:paraId="780FBDA5" w14:textId="77777777" w:rsidR="00F21187" w:rsidRDefault="00F21187" w:rsidP="00F21187">
      <w:pPr>
        <w:pStyle w:val="Heading2"/>
        <w:rPr>
          <w:rFonts w:eastAsiaTheme="minorEastAsia"/>
        </w:rPr>
      </w:pPr>
      <w:bookmarkStart w:id="24" w:name="_Toc85547763"/>
      <w:r>
        <w:rPr>
          <w:rFonts w:eastAsiaTheme="minorEastAsia"/>
        </w:rPr>
        <w:t>Impact on daily activities</w:t>
      </w:r>
      <w:bookmarkEnd w:id="24"/>
    </w:p>
    <w:p w14:paraId="0EEB64A5" w14:textId="77777777" w:rsidR="00F21187" w:rsidRDefault="00F21187" w:rsidP="00F21187">
      <w:pPr>
        <w:rPr>
          <w:rFonts w:cs="Arial"/>
          <w:szCs w:val="24"/>
        </w:rPr>
      </w:pPr>
      <w:r>
        <w:rPr>
          <w:rFonts w:cs="Arial"/>
          <w:szCs w:val="24"/>
        </w:rPr>
        <w:t>In the past three months, how much have each of these things interfered with your daily activities? Base: Total sample n=2,246 people with MSK conditions.</w:t>
      </w:r>
    </w:p>
    <w:p w14:paraId="7780D199" w14:textId="77777777" w:rsidR="00F21187" w:rsidRDefault="00F21187" w:rsidP="00F21187">
      <w:pPr>
        <w:pStyle w:val="ListParagraph"/>
        <w:numPr>
          <w:ilvl w:val="0"/>
          <w:numId w:val="24"/>
        </w:numPr>
        <w:rPr>
          <w:vertAlign w:val="superscript"/>
        </w:rPr>
      </w:pPr>
      <w:r>
        <w:t>68% of people we surveyed with MSK conditions say the fatigue they experience impacts their daily activities (28% reporting a significant impact).</w:t>
      </w:r>
      <w:r>
        <w:rPr>
          <w:vertAlign w:val="superscript"/>
        </w:rPr>
        <w:t>25</w:t>
      </w:r>
    </w:p>
    <w:p w14:paraId="23F5DB9C" w14:textId="77777777" w:rsidR="00F21187" w:rsidRDefault="00F21187" w:rsidP="00F21187">
      <w:pPr>
        <w:pStyle w:val="ListParagraph"/>
        <w:numPr>
          <w:ilvl w:val="0"/>
          <w:numId w:val="24"/>
        </w:numPr>
        <w:rPr>
          <w:vertAlign w:val="superscript"/>
        </w:rPr>
      </w:pPr>
      <w:r>
        <w:t>74% of people we surveyed with MSK conditions say the pain they experience impacts their daily activities (29% reporting a significant impact).</w:t>
      </w:r>
      <w:r>
        <w:rPr>
          <w:vertAlign w:val="superscript"/>
        </w:rPr>
        <w:t>25</w:t>
      </w:r>
    </w:p>
    <w:p w14:paraId="29F6C16C" w14:textId="77777777" w:rsidR="00F21187" w:rsidRDefault="00F21187" w:rsidP="00F21187">
      <w:pPr>
        <w:pStyle w:val="ListParagraph"/>
        <w:numPr>
          <w:ilvl w:val="0"/>
          <w:numId w:val="24"/>
        </w:numPr>
        <w:rPr>
          <w:vertAlign w:val="superscript"/>
        </w:rPr>
      </w:pPr>
      <w:r>
        <w:t>63% of people we surveyed with MSK conditions say feeling low impacts their daily activities (22% reporting a significant impact).</w:t>
      </w:r>
      <w:r>
        <w:rPr>
          <w:vertAlign w:val="superscript"/>
        </w:rPr>
        <w:t>25</w:t>
      </w:r>
    </w:p>
    <w:p w14:paraId="7A67063A" w14:textId="77777777" w:rsidR="00F21187" w:rsidRDefault="00F21187" w:rsidP="00F21187">
      <w:pPr>
        <w:pStyle w:val="ListParagraph"/>
        <w:numPr>
          <w:ilvl w:val="0"/>
          <w:numId w:val="24"/>
        </w:numPr>
        <w:rPr>
          <w:vertAlign w:val="superscript"/>
        </w:rPr>
      </w:pPr>
      <w:r>
        <w:t>61% of people we surveyed with MSK conditions say difficulty getting out and about impacts their daily activities (24% reporting a significant impact).</w:t>
      </w:r>
      <w:r>
        <w:rPr>
          <w:vertAlign w:val="superscript"/>
        </w:rPr>
        <w:t>25</w:t>
      </w:r>
    </w:p>
    <w:p w14:paraId="5D66CF89" w14:textId="77777777" w:rsidR="00F21187" w:rsidRDefault="00F21187" w:rsidP="00F21187">
      <w:pPr>
        <w:pStyle w:val="ListParagraph"/>
        <w:numPr>
          <w:ilvl w:val="0"/>
          <w:numId w:val="24"/>
        </w:numPr>
        <w:rPr>
          <w:vertAlign w:val="superscript"/>
        </w:rPr>
      </w:pPr>
      <w:r>
        <w:t>61% of people we surveyed with MSK conditions say feeling anxious impacts their daily activities (22% reporting a significant impact).</w:t>
      </w:r>
      <w:r>
        <w:rPr>
          <w:vertAlign w:val="superscript"/>
        </w:rPr>
        <w:t>25</w:t>
      </w:r>
    </w:p>
    <w:p w14:paraId="4C34AD56" w14:textId="77777777" w:rsidR="00F21187" w:rsidRDefault="00F21187" w:rsidP="00F21187">
      <w:pPr>
        <w:pStyle w:val="ListParagraph"/>
        <w:numPr>
          <w:ilvl w:val="0"/>
          <w:numId w:val="24"/>
        </w:numPr>
        <w:rPr>
          <w:vertAlign w:val="superscript"/>
        </w:rPr>
      </w:pPr>
      <w:r>
        <w:t>53% of people we surveyed with MSK conditions say difficulty with dexterity impacts their daily activities (17% reporting a significant impact).</w:t>
      </w:r>
      <w:r>
        <w:rPr>
          <w:vertAlign w:val="superscript"/>
        </w:rPr>
        <w:t>25</w:t>
      </w:r>
    </w:p>
    <w:p w14:paraId="1BEA8BAB" w14:textId="77777777" w:rsidR="00F21187" w:rsidRDefault="00F21187" w:rsidP="00F21187">
      <w:pPr>
        <w:pStyle w:val="ListParagraph"/>
        <w:numPr>
          <w:ilvl w:val="0"/>
          <w:numId w:val="24"/>
        </w:numPr>
        <w:rPr>
          <w:vertAlign w:val="superscript"/>
        </w:rPr>
      </w:pPr>
      <w:r>
        <w:t>45% of people we surveyed with MSK conditions say difficulty taking care of themselves impacts their daily activities (13% reporting a significant impact).</w:t>
      </w:r>
      <w:r>
        <w:rPr>
          <w:vertAlign w:val="superscript"/>
        </w:rPr>
        <w:t>25</w:t>
      </w:r>
    </w:p>
    <w:p w14:paraId="0FFCE748" w14:textId="77777777" w:rsidR="00F21187" w:rsidRDefault="00F21187" w:rsidP="00F21187">
      <w:pPr>
        <w:rPr>
          <w:bCs/>
          <w:vertAlign w:val="superscript"/>
        </w:rPr>
      </w:pPr>
      <w:r>
        <w:rPr>
          <w:bCs/>
        </w:rPr>
        <w:t>Half of people (51%) we surveyed with MSK conditions feel like they cannot do anything themselves to lessen the impact of their condition on their lives.</w:t>
      </w:r>
      <w:r>
        <w:rPr>
          <w:bCs/>
          <w:vertAlign w:val="superscript"/>
        </w:rPr>
        <w:t>25</w:t>
      </w:r>
    </w:p>
    <w:p w14:paraId="7441658F" w14:textId="77777777" w:rsidR="00F21187" w:rsidRDefault="00F21187" w:rsidP="00F21187">
      <w:r>
        <w:t>Depression is four times more common among people in persistent pain compared to those without pain.</w:t>
      </w:r>
      <w:r>
        <w:rPr>
          <w:rStyle w:val="EndnoteReference"/>
        </w:rPr>
        <w:endnoteReference w:id="45"/>
      </w:r>
    </w:p>
    <w:p w14:paraId="0BE205D4" w14:textId="77777777" w:rsidR="00F21187" w:rsidRDefault="00F21187" w:rsidP="00F21187">
      <w:pPr>
        <w:pStyle w:val="Heading2"/>
        <w:rPr>
          <w:rFonts w:eastAsiaTheme="minorEastAsia"/>
        </w:rPr>
      </w:pPr>
      <w:bookmarkStart w:id="25" w:name="_Toc85547764"/>
      <w:r>
        <w:rPr>
          <w:rFonts w:eastAsiaTheme="minorEastAsia"/>
        </w:rPr>
        <w:t>Work</w:t>
      </w:r>
      <w:bookmarkEnd w:id="25"/>
    </w:p>
    <w:p w14:paraId="790658A0" w14:textId="77777777" w:rsidR="00F21187" w:rsidRDefault="00F21187" w:rsidP="00F21187">
      <w:pPr>
        <w:rPr>
          <w:bCs/>
          <w:vertAlign w:val="superscript"/>
        </w:rPr>
      </w:pPr>
      <w:r>
        <w:rPr>
          <w:bCs/>
        </w:rPr>
        <w:t>Three in ten working-age people in the UK have a long-term</w:t>
      </w:r>
      <w:r>
        <w:rPr>
          <w:rStyle w:val="FootnoteReference"/>
          <w:bCs/>
        </w:rPr>
        <w:footnoteReference w:id="8"/>
      </w:r>
      <w:r>
        <w:rPr>
          <w:bCs/>
        </w:rPr>
        <w:t xml:space="preserve"> health condition.</w:t>
      </w:r>
      <w:r>
        <w:rPr>
          <w:rStyle w:val="EndnoteReference"/>
          <w:bCs/>
        </w:rPr>
        <w:endnoteReference w:id="46"/>
      </w:r>
      <w:r>
        <w:rPr>
          <w:bCs/>
          <w:vertAlign w:val="superscript"/>
        </w:rPr>
        <w:t xml:space="preserve">, </w:t>
      </w:r>
      <w:r>
        <w:rPr>
          <w:rStyle w:val="EndnoteReference"/>
          <w:bCs/>
        </w:rPr>
        <w:endnoteReference w:id="47"/>
      </w:r>
    </w:p>
    <w:p w14:paraId="0382DE53" w14:textId="77777777" w:rsidR="00F21187" w:rsidRDefault="00F21187" w:rsidP="00F21187">
      <w:r>
        <w:t>By 2040 four in ten working-age people in the UK will have a long-term condition.</w:t>
      </w:r>
      <w:r>
        <w:rPr>
          <w:rStyle w:val="EndnoteReference"/>
        </w:rPr>
        <w:endnoteReference w:id="48"/>
      </w:r>
    </w:p>
    <w:p w14:paraId="4E97D4B8" w14:textId="77777777" w:rsidR="00F21187" w:rsidRDefault="00F21187" w:rsidP="00F21187">
      <w:pPr>
        <w:rPr>
          <w:bCs/>
          <w:vertAlign w:val="superscript"/>
        </w:rPr>
      </w:pPr>
      <w:r>
        <w:rPr>
          <w:bCs/>
        </w:rPr>
        <w:t>One in ten working-age people in the UK</w:t>
      </w:r>
      <w:r>
        <w:rPr>
          <w:b/>
        </w:rPr>
        <w:t xml:space="preserve"> </w:t>
      </w:r>
      <w:r>
        <w:rPr>
          <w:bCs/>
        </w:rPr>
        <w:t>have a long-term MSK condition.</w:t>
      </w:r>
      <w:r>
        <w:rPr>
          <w:bCs/>
          <w:vertAlign w:val="superscript"/>
        </w:rPr>
        <w:t>3,4,5</w:t>
      </w:r>
    </w:p>
    <w:p w14:paraId="31C86405" w14:textId="77777777" w:rsidR="00F21187" w:rsidRDefault="00F21187" w:rsidP="00F21187">
      <w:pPr>
        <w:rPr>
          <w:rFonts w:cs="Arial"/>
          <w:szCs w:val="24"/>
        </w:rPr>
      </w:pPr>
      <w:r>
        <w:rPr>
          <w:rFonts w:cs="Arial"/>
          <w:szCs w:val="24"/>
        </w:rPr>
        <w:t xml:space="preserve">People with MSK conditions are less likely to be in work than people with no long-term health condition and are more likely to retire early. </w:t>
      </w:r>
    </w:p>
    <w:p w14:paraId="6FB1F119" w14:textId="77777777" w:rsidR="00F21187" w:rsidRDefault="00F21187" w:rsidP="00F21187">
      <w:pPr>
        <w:rPr>
          <w:rFonts w:cs="Arial"/>
          <w:szCs w:val="24"/>
        </w:rPr>
      </w:pPr>
      <w:r>
        <w:rPr>
          <w:rFonts w:cs="Arial"/>
          <w:szCs w:val="24"/>
        </w:rPr>
        <w:lastRenderedPageBreak/>
        <w:t>Around 62% of working age adults with an MSK condition are in work compared to 81% of people with no long-term health condition. Likewise, around 34% of working age adults with an MSK condition are economically inactive compared to 15% of people with no long-term health condition.</w:t>
      </w:r>
      <w:r>
        <w:rPr>
          <w:rStyle w:val="EndnoteReference"/>
        </w:rPr>
        <w:endnoteReference w:id="49"/>
      </w:r>
    </w:p>
    <w:p w14:paraId="187B51C2" w14:textId="77777777" w:rsidR="00F21187" w:rsidRDefault="00F21187" w:rsidP="00F21187">
      <w:r>
        <w:rPr>
          <w:bCs/>
        </w:rPr>
        <w:t>Almost half of people (46%) we surveyed with MSK conditions say their symptoms interfered with their ability to concentrate.</w:t>
      </w:r>
      <w:r>
        <w:rPr>
          <w:bCs/>
          <w:vertAlign w:val="superscript"/>
        </w:rPr>
        <w:t>25</w:t>
      </w:r>
    </w:p>
    <w:p w14:paraId="4DFC34C0" w14:textId="77777777" w:rsidR="00F21187" w:rsidRDefault="00F21187" w:rsidP="00F21187">
      <w:pPr>
        <w:rPr>
          <w:shd w:val="clear" w:color="auto" w:fill="FFFFFF"/>
        </w:rPr>
      </w:pPr>
      <w:r>
        <w:rPr>
          <w:shd w:val="clear" w:color="auto" w:fill="FFFFFF"/>
        </w:rPr>
        <w:t>28.4 million working days lost due to MSK conditions in 2019.</w:t>
      </w:r>
      <w:r>
        <w:rPr>
          <w:rStyle w:val="EndnoteReference"/>
          <w:shd w:val="clear" w:color="auto" w:fill="FFFFFF"/>
        </w:rPr>
        <w:endnoteReference w:id="50"/>
      </w:r>
    </w:p>
    <w:p w14:paraId="5F808935" w14:textId="77777777" w:rsidR="00F21187" w:rsidRDefault="00F21187" w:rsidP="00F21187">
      <w:pPr>
        <w:rPr>
          <w:shd w:val="clear" w:color="auto" w:fill="FFFFFF"/>
        </w:rPr>
      </w:pPr>
      <w:r>
        <w:rPr>
          <w:shd w:val="clear" w:color="auto" w:fill="FFFFFF"/>
        </w:rPr>
        <w:t>Musculoskeletal problems remained the second most common reason for working days lost for most of the last decade. However, in 2020, other problems (including coronavirus (COVID-19) related illnesses) became more common.</w:t>
      </w:r>
      <w:r>
        <w:rPr>
          <w:shd w:val="clear" w:color="auto" w:fill="FFFFFF"/>
          <w:vertAlign w:val="superscript"/>
        </w:rPr>
        <w:t>50</w:t>
      </w:r>
      <w:r>
        <w:rPr>
          <w:shd w:val="clear" w:color="auto" w:fill="FFFFFF"/>
        </w:rPr>
        <w:t xml:space="preserve"> </w:t>
      </w:r>
    </w:p>
    <w:p w14:paraId="611C9FD4" w14:textId="77777777" w:rsidR="00F21187" w:rsidRDefault="00F21187" w:rsidP="00F21187">
      <w:pPr>
        <w:rPr>
          <w:shd w:val="clear" w:color="auto" w:fill="FFFFFF"/>
        </w:rPr>
      </w:pPr>
      <w:r>
        <w:rPr>
          <w:shd w:val="clear" w:color="auto" w:fill="FFFFFF"/>
        </w:rPr>
        <w:t>The top three reasons for working days lost in 2020 were</w:t>
      </w:r>
      <w:r>
        <w:rPr>
          <w:shd w:val="clear" w:color="auto" w:fill="FFFFFF"/>
          <w:vertAlign w:val="superscript"/>
        </w:rPr>
        <w:t>50</w:t>
      </w:r>
      <w:r>
        <w:rPr>
          <w:shd w:val="clear" w:color="auto" w:fill="FFFFFF"/>
        </w:rPr>
        <w:t xml:space="preserve">: </w:t>
      </w:r>
    </w:p>
    <w:p w14:paraId="222C5F3C" w14:textId="77777777" w:rsidR="00F21187" w:rsidRDefault="00F21187" w:rsidP="00F21187">
      <w:pPr>
        <w:pStyle w:val="ListParagraph"/>
        <w:numPr>
          <w:ilvl w:val="0"/>
          <w:numId w:val="26"/>
        </w:numPr>
        <w:rPr>
          <w:shd w:val="clear" w:color="auto" w:fill="FFFFFF"/>
        </w:rPr>
      </w:pPr>
      <w:r>
        <w:rPr>
          <w:shd w:val="clear" w:color="auto" w:fill="FFFFFF"/>
        </w:rPr>
        <w:t xml:space="preserve">minor illnesses (coughs, colds, diarrhoea, etc.) 26% of sickness absences  </w:t>
      </w:r>
    </w:p>
    <w:p w14:paraId="1B4E44C2" w14:textId="77777777" w:rsidR="00F21187" w:rsidRDefault="00F21187" w:rsidP="00F21187">
      <w:pPr>
        <w:pStyle w:val="ListParagraph"/>
        <w:numPr>
          <w:ilvl w:val="0"/>
          <w:numId w:val="26"/>
        </w:numPr>
        <w:rPr>
          <w:shd w:val="clear" w:color="auto" w:fill="FFFFFF"/>
        </w:rPr>
      </w:pPr>
      <w:r>
        <w:rPr>
          <w:shd w:val="clear" w:color="auto" w:fill="FFFFFF"/>
        </w:rPr>
        <w:t xml:space="preserve">MSK conditions 15% of sickness absences  </w:t>
      </w:r>
    </w:p>
    <w:p w14:paraId="24B096A7" w14:textId="77777777" w:rsidR="00F21187" w:rsidRDefault="00F21187" w:rsidP="00F21187">
      <w:pPr>
        <w:pStyle w:val="ListParagraph"/>
        <w:numPr>
          <w:ilvl w:val="0"/>
          <w:numId w:val="26"/>
        </w:numPr>
        <w:rPr>
          <w:shd w:val="clear" w:color="auto" w:fill="FFFFFF"/>
        </w:rPr>
      </w:pPr>
      <w:r>
        <w:rPr>
          <w:shd w:val="clear" w:color="auto" w:fill="FFFFFF"/>
        </w:rPr>
        <w:t xml:space="preserve">Other (including COVID-19) 17% of sickness absences  </w:t>
      </w:r>
    </w:p>
    <w:p w14:paraId="259045C8" w14:textId="77777777" w:rsidR="00F21187" w:rsidRDefault="00F21187" w:rsidP="00F21187">
      <w:pPr>
        <w:rPr>
          <w:rFonts w:cs="Arial"/>
          <w:szCs w:val="24"/>
          <w:highlight w:val="cyan"/>
        </w:rPr>
      </w:pPr>
      <w:r>
        <w:rPr>
          <w:rFonts w:cs="Arial"/>
          <w:szCs w:val="24"/>
        </w:rPr>
        <w:t>Many people with MSK conditions want to work, but they need the right support to find and stay in employment.</w:t>
      </w:r>
      <w:r>
        <w:rPr>
          <w:rFonts w:cs="Arial"/>
          <w:szCs w:val="24"/>
          <w:highlight w:val="cyan"/>
        </w:rPr>
        <w:t xml:space="preserve"> </w:t>
      </w:r>
    </w:p>
    <w:p w14:paraId="2AD1DD94" w14:textId="77777777" w:rsidR="00F21187" w:rsidRDefault="00F21187" w:rsidP="00F21187">
      <w:pPr>
        <w:rPr>
          <w:bCs/>
          <w:vertAlign w:val="superscript"/>
        </w:rPr>
      </w:pPr>
      <w:r>
        <w:rPr>
          <w:rFonts w:cs="Arial"/>
          <w:szCs w:val="24"/>
        </w:rPr>
        <w:t>Over half of people (53%) we surveyed with MSK conditions say their symptoms have a negative impact on work.</w:t>
      </w:r>
      <w:r>
        <w:rPr>
          <w:bCs/>
          <w:vertAlign w:val="superscript"/>
        </w:rPr>
        <w:t xml:space="preserve"> 25</w:t>
      </w:r>
    </w:p>
    <w:p w14:paraId="502E3B06" w14:textId="77777777" w:rsidR="00F21187" w:rsidRDefault="00F21187" w:rsidP="00F21187">
      <w:pPr>
        <w:rPr>
          <w:rFonts w:eastAsia="Calibre-Regular"/>
          <w:szCs w:val="24"/>
        </w:rPr>
      </w:pPr>
      <w:r>
        <w:rPr>
          <w:rFonts w:eastAsia="Calibre-Regular"/>
          <w:szCs w:val="24"/>
        </w:rPr>
        <w:t>One in three employees with long-term conditions have not discussed it with their employer.</w:t>
      </w:r>
      <w:r>
        <w:rPr>
          <w:rStyle w:val="EndnoteReference"/>
          <w:rFonts w:eastAsia="Calibre-Regular"/>
          <w:szCs w:val="24"/>
        </w:rPr>
        <w:endnoteReference w:id="51"/>
      </w:r>
    </w:p>
    <w:p w14:paraId="189B413B" w14:textId="77777777" w:rsidR="00F21187" w:rsidRDefault="00F21187" w:rsidP="00F21187">
      <w:pPr>
        <w:rPr>
          <w:noProof/>
          <w:szCs w:val="24"/>
        </w:rPr>
      </w:pPr>
      <w:r>
        <w:rPr>
          <w:noProof/>
          <w:szCs w:val="24"/>
        </w:rPr>
        <w:t>One in six people (6,820) receiving support from the UK’s Access to Work scheme in 2019-20 had a MSK problem, but many more could benefit.</w:t>
      </w:r>
      <w:r>
        <w:rPr>
          <w:rStyle w:val="EndnoteReference"/>
          <w:noProof/>
          <w:szCs w:val="24"/>
        </w:rPr>
        <w:endnoteReference w:id="52"/>
      </w:r>
    </w:p>
    <w:p w14:paraId="17222511" w14:textId="77777777" w:rsidR="00F21187" w:rsidRDefault="00F21187" w:rsidP="00F21187">
      <w:pPr>
        <w:rPr>
          <w:rFonts w:eastAsia="Calibre-Regular"/>
          <w:szCs w:val="24"/>
        </w:rPr>
      </w:pPr>
      <w:r>
        <w:rPr>
          <w:rFonts w:eastAsia="Calibre-Regular"/>
          <w:szCs w:val="24"/>
        </w:rPr>
        <w:t>One in eight Employment and Support Allowance (ESA) claimants (13%) in Great Britain in 2020-21 have a MSK problem as their primary condition, second to mental health and behavioural problems (50%).</w:t>
      </w:r>
      <w:r>
        <w:rPr>
          <w:rStyle w:val="EndnoteReference"/>
          <w:rFonts w:eastAsia="Calibre-Regular"/>
          <w:szCs w:val="24"/>
        </w:rPr>
        <w:endnoteReference w:id="53"/>
      </w:r>
    </w:p>
    <w:p w14:paraId="13F4AC3C" w14:textId="77777777" w:rsidR="00F21187" w:rsidRDefault="00F21187" w:rsidP="00F21187">
      <w:pPr>
        <w:rPr>
          <w:rFonts w:eastAsia="Calibre-Regular" w:cs="Arial"/>
          <w:szCs w:val="24"/>
        </w:rPr>
      </w:pPr>
      <w:r>
        <w:rPr>
          <w:rFonts w:eastAsia="Calibre-Regular" w:cs="Arial"/>
          <w:szCs w:val="24"/>
        </w:rPr>
        <w:t>MSK conditions remain the second most common diagnosis on fit notes written by GPs in England, after mental health conditions, in 2019-20.</w:t>
      </w:r>
    </w:p>
    <w:p w14:paraId="2C802FF9" w14:textId="77777777" w:rsidR="00F21187" w:rsidRDefault="00F21187" w:rsidP="00F21187">
      <w:pPr>
        <w:rPr>
          <w:noProof/>
          <w:szCs w:val="24"/>
        </w:rPr>
      </w:pPr>
      <w:r>
        <w:rPr>
          <w:rFonts w:eastAsia="Calibre-Regular" w:cs="Arial"/>
          <w:szCs w:val="24"/>
        </w:rPr>
        <w:t xml:space="preserve">One in six </w:t>
      </w:r>
      <w:r>
        <w:rPr>
          <w:noProof/>
          <w:szCs w:val="24"/>
        </w:rPr>
        <w:t>fit notes (16%) issued to patients by GPs in England were for MSK conditions.</w:t>
      </w:r>
      <w:r>
        <w:rPr>
          <w:rStyle w:val="EndnoteReference"/>
          <w:rFonts w:eastAsia="Calibre-Regular"/>
          <w:szCs w:val="24"/>
        </w:rPr>
        <w:endnoteReference w:id="54"/>
      </w:r>
    </w:p>
    <w:p w14:paraId="4CBD2372" w14:textId="77777777" w:rsidR="00F21187" w:rsidRDefault="00F21187" w:rsidP="00F21187">
      <w:pPr>
        <w:rPr>
          <w:rFonts w:eastAsia="Calibre-Regular" w:cs="Arial"/>
          <w:szCs w:val="24"/>
        </w:rPr>
      </w:pPr>
      <w:r>
        <w:rPr>
          <w:noProof/>
          <w:szCs w:val="24"/>
        </w:rPr>
        <w:t xml:space="preserve">44% </w:t>
      </w:r>
      <w:r>
        <w:rPr>
          <w:rFonts w:eastAsia="Calibre-Regular"/>
          <w:szCs w:val="24"/>
        </w:rPr>
        <w:t>of fit note episodes for MSK conditions last five or more weeks.</w:t>
      </w:r>
      <w:r>
        <w:rPr>
          <w:rFonts w:eastAsia="Calibre-Regular"/>
          <w:szCs w:val="24"/>
          <w:vertAlign w:val="superscript"/>
        </w:rPr>
        <w:t>54</w:t>
      </w:r>
    </w:p>
    <w:p w14:paraId="0F05AAE7" w14:textId="77777777" w:rsidR="00F21187" w:rsidRDefault="00F21187" w:rsidP="00F21187">
      <w:pPr>
        <w:rPr>
          <w:rFonts w:eastAsia="Calibre-Regular" w:cs="Arial"/>
          <w:b/>
          <w:bCs/>
          <w:szCs w:val="24"/>
        </w:rPr>
      </w:pPr>
    </w:p>
    <w:p w14:paraId="677A1544" w14:textId="77777777" w:rsidR="00F21187" w:rsidRDefault="00F21187" w:rsidP="00F21187">
      <w:pPr>
        <w:pStyle w:val="Heading2"/>
        <w:rPr>
          <w:rFonts w:eastAsiaTheme="minorEastAsia"/>
        </w:rPr>
      </w:pPr>
      <w:bookmarkStart w:id="27" w:name="_Toc85547765"/>
      <w:r>
        <w:rPr>
          <w:rFonts w:eastAsiaTheme="minorEastAsia"/>
        </w:rPr>
        <w:t>Health and care services</w:t>
      </w:r>
      <w:bookmarkEnd w:id="27"/>
    </w:p>
    <w:p w14:paraId="518EB821" w14:textId="77777777" w:rsidR="00F21187" w:rsidRDefault="00F21187" w:rsidP="00F21187">
      <w:pPr>
        <w:rPr>
          <w:rFonts w:cs="Arial"/>
          <w:szCs w:val="24"/>
        </w:rPr>
      </w:pPr>
      <w:r>
        <w:rPr>
          <w:rFonts w:cs="Arial"/>
          <w:szCs w:val="24"/>
        </w:rPr>
        <w:t>People with MSK conditions are frequent users of primary, secondary and community-based health and social services.</w:t>
      </w:r>
    </w:p>
    <w:p w14:paraId="6B3AAF70" w14:textId="0F4A3818" w:rsidR="00F21187" w:rsidRDefault="00F21187" w:rsidP="00F21187">
      <w:pPr>
        <w:rPr>
          <w:rFonts w:eastAsiaTheme="minorHAnsi" w:cs="Arial"/>
          <w:color w:val="000000" w:themeColor="text1"/>
          <w:szCs w:val="24"/>
          <w:vertAlign w:val="superscript"/>
          <w:lang w:eastAsia="en-US"/>
        </w:rPr>
      </w:pPr>
      <w:r>
        <w:rPr>
          <w:rFonts w:cs="Arial"/>
          <w:szCs w:val="24"/>
        </w:rPr>
        <w:t xml:space="preserve">MSK conditions account for up to one in seven </w:t>
      </w:r>
      <w:r>
        <w:rPr>
          <w:rFonts w:eastAsiaTheme="minorHAnsi" w:cs="Arial"/>
          <w:szCs w:val="24"/>
          <w:lang w:eastAsia="en-US"/>
        </w:rPr>
        <w:t>GP consultations.</w:t>
      </w:r>
      <w:r>
        <w:rPr>
          <w:rStyle w:val="EndnoteReference"/>
          <w:rFonts w:eastAsiaTheme="minorHAnsi" w:cs="Arial"/>
          <w:szCs w:val="24"/>
          <w:lang w:eastAsia="en-US"/>
        </w:rPr>
        <w:endnoteReference w:id="55"/>
      </w:r>
    </w:p>
    <w:p w14:paraId="7FFDE1F2" w14:textId="2ECD267C" w:rsidR="00F21187" w:rsidRPr="00F21187" w:rsidRDefault="00F21187" w:rsidP="00F21187">
      <w:pPr>
        <w:rPr>
          <w:vertAlign w:val="superscript"/>
        </w:rPr>
      </w:pPr>
      <w:r>
        <w:t xml:space="preserve">Every year 1 in 5 adults will consult their GP for a MSK condition. </w:t>
      </w:r>
      <w:r>
        <w:rPr>
          <w:vertAlign w:val="superscript"/>
        </w:rPr>
        <w:t>55,</w:t>
      </w:r>
      <w:r w:rsidRPr="00F21187">
        <w:rPr>
          <w:rStyle w:val="EndnoteReference"/>
          <w:rFonts w:cs="Arial"/>
          <w:color w:val="000000" w:themeColor="text1"/>
          <w:szCs w:val="24"/>
        </w:rPr>
        <w:t xml:space="preserve"> </w:t>
      </w:r>
      <w:r>
        <w:rPr>
          <w:rStyle w:val="EndnoteReference"/>
          <w:rFonts w:cs="Arial"/>
          <w:color w:val="000000" w:themeColor="text1"/>
          <w:szCs w:val="24"/>
        </w:rPr>
        <w:endnoteReference w:id="56"/>
      </w:r>
    </w:p>
    <w:p w14:paraId="456959A4" w14:textId="67429292" w:rsidR="00F21187" w:rsidRDefault="00F21187" w:rsidP="00F21187">
      <w:pPr>
        <w:rPr>
          <w:rFonts w:cs="Arial"/>
          <w:b/>
          <w:szCs w:val="24"/>
          <w:vertAlign w:val="superscript"/>
        </w:rPr>
      </w:pPr>
      <w:r>
        <w:t>Four in ten people we surveyed see their GP as the main person they are supported by.</w:t>
      </w:r>
      <w:r>
        <w:rPr>
          <w:vertAlign w:val="superscript"/>
        </w:rPr>
        <w:t>25</w:t>
      </w:r>
    </w:p>
    <w:p w14:paraId="35437E0B" w14:textId="4B1CC352" w:rsidR="00F21187" w:rsidRPr="00F21187" w:rsidRDefault="00F21187" w:rsidP="00F21187">
      <w:pPr>
        <w:rPr>
          <w:rFonts w:cs="Arial"/>
          <w:szCs w:val="24"/>
        </w:rPr>
      </w:pPr>
      <w:r>
        <w:t xml:space="preserve">MSK conditions remained one of the </w:t>
      </w:r>
      <w:proofErr w:type="gramStart"/>
      <w:r>
        <w:t>most commonly recorded</w:t>
      </w:r>
      <w:proofErr w:type="gramEnd"/>
      <w:r>
        <w:t xml:space="preserve"> diagnoses for hospital admissions in England in 2019-20. Accounting for </w:t>
      </w:r>
      <w:r>
        <w:rPr>
          <w:b/>
          <w:bCs/>
        </w:rPr>
        <w:t>1.26 million</w:t>
      </w:r>
      <w:r>
        <w:t xml:space="preserve"> finished admission episodes (7.3% of total).</w:t>
      </w:r>
      <w:r>
        <w:rPr>
          <w:rStyle w:val="EndnoteReference"/>
        </w:rPr>
        <w:endnoteReference w:id="57"/>
      </w:r>
    </w:p>
    <w:p w14:paraId="79472ADC" w14:textId="77777777" w:rsidR="00F21187" w:rsidRDefault="00F21187" w:rsidP="00F21187">
      <w:pPr>
        <w:rPr>
          <w:vertAlign w:val="superscript"/>
        </w:rPr>
      </w:pPr>
      <w:r>
        <w:t>118,316 hip replacements* and 123,691 knee replacements* were carried out in the UK in 2019.</w:t>
      </w:r>
      <w:r>
        <w:rPr>
          <w:rStyle w:val="EndnoteReference"/>
        </w:rPr>
        <w:t xml:space="preserve"> </w:t>
      </w:r>
      <w:r>
        <w:rPr>
          <w:rStyle w:val="EndnoteReference"/>
        </w:rPr>
        <w:endnoteReference w:id="58"/>
      </w:r>
      <w:r>
        <w:rPr>
          <w:vertAlign w:val="superscript"/>
        </w:rPr>
        <w:t xml:space="preserve">, </w:t>
      </w:r>
      <w:r>
        <w:rPr>
          <w:rStyle w:val="EndnoteReference"/>
        </w:rPr>
        <w:endnoteReference w:id="59"/>
      </w:r>
    </w:p>
    <w:p w14:paraId="3A4422F9" w14:textId="77777777" w:rsidR="00F21187" w:rsidRDefault="00F21187" w:rsidP="00F21187">
      <w:pPr>
        <w:autoSpaceDE w:val="0"/>
        <w:autoSpaceDN w:val="0"/>
        <w:adjustRightInd w:val="0"/>
        <w:spacing w:after="0" w:line="240" w:lineRule="auto"/>
        <w:rPr>
          <w:rFonts w:cs="Arial"/>
          <w:b/>
          <w:bCs/>
          <w:szCs w:val="24"/>
        </w:rPr>
      </w:pPr>
      <w:r>
        <w:t>*</w:t>
      </w:r>
      <w:proofErr w:type="gramStart"/>
      <w:r>
        <w:t>primary</w:t>
      </w:r>
      <w:proofErr w:type="gramEnd"/>
      <w:r>
        <w:t xml:space="preserve"> and revision</w:t>
      </w:r>
    </w:p>
    <w:p w14:paraId="62FE7768" w14:textId="77777777" w:rsidR="00F21187" w:rsidRDefault="00F21187" w:rsidP="00F21187">
      <w:pPr>
        <w:autoSpaceDE w:val="0"/>
        <w:autoSpaceDN w:val="0"/>
        <w:adjustRightInd w:val="0"/>
        <w:spacing w:after="0" w:line="240" w:lineRule="auto"/>
        <w:rPr>
          <w:rFonts w:cs="Arial"/>
          <w:b/>
          <w:bCs/>
          <w:szCs w:val="24"/>
        </w:rPr>
      </w:pPr>
    </w:p>
    <w:p w14:paraId="5737BF86" w14:textId="77777777" w:rsidR="00F21187" w:rsidRDefault="00F21187" w:rsidP="00F21187">
      <w:pPr>
        <w:autoSpaceDE w:val="0"/>
        <w:autoSpaceDN w:val="0"/>
        <w:adjustRightInd w:val="0"/>
        <w:spacing w:after="0" w:line="240" w:lineRule="auto"/>
      </w:pPr>
      <w:r>
        <w:lastRenderedPageBreak/>
        <w:t xml:space="preserve">Half the expected number of joint replacements were carried out in 2020 due to the </w:t>
      </w:r>
      <w:r>
        <w:rPr>
          <w:rFonts w:cs="Calibre Light"/>
          <w:color w:val="000000"/>
          <w:sz w:val="23"/>
          <w:szCs w:val="23"/>
        </w:rPr>
        <w:t xml:space="preserve">COVID-19 pandemic </w:t>
      </w:r>
      <w:r>
        <w:t xml:space="preserve">leaving </w:t>
      </w:r>
      <w:r>
        <w:rPr>
          <w:b/>
          <w:bCs/>
        </w:rPr>
        <w:t>hundreds of thousands</w:t>
      </w:r>
      <w:r>
        <w:t xml:space="preserve"> of people with arthritis waiting for these life-changing surgeries.</w:t>
      </w:r>
      <w:r>
        <w:rPr>
          <w:rStyle w:val="EndnoteReference"/>
        </w:rPr>
        <w:endnoteReference w:id="60"/>
      </w:r>
    </w:p>
    <w:p w14:paraId="10BB635B" w14:textId="77777777" w:rsidR="00F21187" w:rsidRDefault="00F21187" w:rsidP="00F21187">
      <w:pPr>
        <w:autoSpaceDE w:val="0"/>
        <w:autoSpaceDN w:val="0"/>
        <w:adjustRightInd w:val="0"/>
        <w:spacing w:after="0" w:line="240" w:lineRule="auto"/>
      </w:pPr>
    </w:p>
    <w:p w14:paraId="7FDF4E35" w14:textId="77777777" w:rsidR="00F21187" w:rsidRDefault="00F21187" w:rsidP="00F21187">
      <w:pPr>
        <w:autoSpaceDE w:val="0"/>
        <w:autoSpaceDN w:val="0"/>
        <w:adjustRightInd w:val="0"/>
        <w:spacing w:after="0" w:line="240" w:lineRule="auto"/>
        <w:rPr>
          <w:rFonts w:cs="Arial"/>
          <w:b/>
          <w:bCs/>
          <w:szCs w:val="24"/>
        </w:rPr>
      </w:pPr>
      <w:r>
        <w:t>Over 90% of hip and knee replacements are due to osteoarthritis.</w:t>
      </w:r>
      <w:r>
        <w:rPr>
          <w:vertAlign w:val="superscript"/>
        </w:rPr>
        <w:t>58,59</w:t>
      </w:r>
    </w:p>
    <w:p w14:paraId="34C83147" w14:textId="77777777" w:rsidR="00F21187" w:rsidRDefault="00F21187" w:rsidP="00F21187">
      <w:pPr>
        <w:autoSpaceDE w:val="0"/>
        <w:autoSpaceDN w:val="0"/>
        <w:adjustRightInd w:val="0"/>
        <w:spacing w:after="0" w:line="240" w:lineRule="auto"/>
        <w:rPr>
          <w:rFonts w:cs="Arial"/>
          <w:b/>
          <w:bCs/>
          <w:szCs w:val="24"/>
        </w:rPr>
      </w:pPr>
    </w:p>
    <w:p w14:paraId="7F174B87" w14:textId="77777777" w:rsidR="00F21187" w:rsidRDefault="00F21187" w:rsidP="00F21187">
      <w:pPr>
        <w:rPr>
          <w:color w:val="70AD47" w:themeColor="accent6"/>
        </w:rPr>
      </w:pPr>
      <w:r>
        <w:t>Around 75,000 hip fractures occur annually in the UK.</w:t>
      </w:r>
      <w:r>
        <w:rPr>
          <w:rStyle w:val="EndnoteReference"/>
        </w:rPr>
        <w:endnoteReference w:id="61"/>
      </w:r>
      <w:r>
        <w:rPr>
          <w:vertAlign w:val="superscript"/>
        </w:rPr>
        <w:t>,</w:t>
      </w:r>
      <w:r>
        <w:rPr>
          <w:rStyle w:val="EndnoteReference"/>
        </w:rPr>
        <w:endnoteReference w:id="62"/>
      </w:r>
    </w:p>
    <w:p w14:paraId="3BB978F9" w14:textId="77777777" w:rsidR="00F21187" w:rsidRDefault="00F21187" w:rsidP="00F21187">
      <w:r>
        <w:t>People with MSK conditions often take a wide range of medications.</w:t>
      </w:r>
    </w:p>
    <w:p w14:paraId="5562B6E8" w14:textId="77777777" w:rsidR="00F21187" w:rsidRDefault="00F21187" w:rsidP="00F21187">
      <w:r>
        <w:t xml:space="preserve">Approximately 29.4M prescriptions (-8% since 2017) were dispensed for MSK conditions and joint diseases in England in 2020, costing approximately £171.2M (-12% since 2017). </w:t>
      </w:r>
      <w:r>
        <w:rPr>
          <w:rStyle w:val="EndnoteReference"/>
        </w:rPr>
        <w:endnoteReference w:id="63"/>
      </w:r>
    </w:p>
    <w:p w14:paraId="470FC2F0" w14:textId="77777777" w:rsidR="00F21187" w:rsidRDefault="00F21187" w:rsidP="00F21187">
      <w:r>
        <w:t>Almost 5 in 10 people (47%) with long-term MSK conditions in England take five or more medications on a regular basis.</w:t>
      </w:r>
      <w:r>
        <w:rPr>
          <w:rStyle w:val="EndnoteReference"/>
        </w:rPr>
        <w:endnoteReference w:id="64"/>
      </w:r>
    </w:p>
    <w:p w14:paraId="42B6572A" w14:textId="77777777" w:rsidR="00F21187" w:rsidRDefault="00F21187" w:rsidP="00F21187">
      <w:r>
        <w:t xml:space="preserve">Over 8 in 10 people (86%) we surveyed with MSK conditions think having access to methods other than medication to manage their condition would have a positive impact on their quality of life. </w:t>
      </w:r>
    </w:p>
    <w:p w14:paraId="683AC843" w14:textId="77777777" w:rsidR="00F21187" w:rsidRDefault="00F21187" w:rsidP="00F21187">
      <w:r>
        <w:t>People’s experiences of treatment and care and access to services vary greatly.</w:t>
      </w:r>
    </w:p>
    <w:p w14:paraId="3221A2A9" w14:textId="77777777" w:rsidR="00F21187" w:rsidRDefault="00F21187" w:rsidP="00F21187">
      <w:r>
        <w:t>People’s experiences of treatment and care and access to services vary greatly.</w:t>
      </w:r>
    </w:p>
    <w:p w14:paraId="4F69EB96" w14:textId="77777777" w:rsidR="00F21187" w:rsidRDefault="00F21187" w:rsidP="00F21187">
      <w:r>
        <w:t>Five in ten people (53%) we surveyed with MSK conditions are satisfied with the level of support they receive from the health and social care professional they interact with.</w:t>
      </w:r>
      <w:r>
        <w:rPr>
          <w:vertAlign w:val="superscript"/>
        </w:rPr>
        <w:t>25</w:t>
      </w:r>
      <w:r>
        <w:t xml:space="preserve"> </w:t>
      </w:r>
    </w:p>
    <w:p w14:paraId="2D7FAA31" w14:textId="77777777" w:rsidR="00F21187" w:rsidRDefault="00F21187" w:rsidP="00F21187">
      <w:pPr>
        <w:rPr>
          <w:vertAlign w:val="superscript"/>
        </w:rPr>
      </w:pPr>
      <w:r>
        <w:t>Three in ten people (30%) we surveyed with MSK conditions are not satisfied with the pain relief they achieve with their current treatment plan/medication.</w:t>
      </w:r>
      <w:r>
        <w:rPr>
          <w:vertAlign w:val="superscript"/>
        </w:rPr>
        <w:t>25</w:t>
      </w:r>
    </w:p>
    <w:p w14:paraId="15B0E555" w14:textId="77777777" w:rsidR="00F21187" w:rsidRDefault="00F21187" w:rsidP="00F21187">
      <w:r>
        <w:t>Four in ten people (42%) we surveyed with MSK conditions said the top thing that would have a positive impact on their life would be if healthcare professionals treated all their conditions and symptoms together, rather than as separate things.</w:t>
      </w:r>
      <w:r>
        <w:rPr>
          <w:vertAlign w:val="superscript"/>
        </w:rPr>
        <w:t>25</w:t>
      </w:r>
      <w:r>
        <w:t xml:space="preserve"> </w:t>
      </w:r>
    </w:p>
    <w:p w14:paraId="3E5AA4F4" w14:textId="77777777" w:rsidR="00F21187" w:rsidRDefault="00F21187" w:rsidP="00F21187">
      <w:pPr>
        <w:pStyle w:val="Heading2"/>
        <w:rPr>
          <w:rFonts w:eastAsiaTheme="minorEastAsia"/>
        </w:rPr>
      </w:pPr>
      <w:bookmarkStart w:id="28" w:name="_Toc85547766"/>
      <w:r>
        <w:rPr>
          <w:rFonts w:eastAsiaTheme="minorEastAsia"/>
        </w:rPr>
        <w:t>Economy</w:t>
      </w:r>
      <w:bookmarkEnd w:id="28"/>
    </w:p>
    <w:p w14:paraId="3676EB86" w14:textId="77777777" w:rsidR="00F21187" w:rsidRDefault="00F21187" w:rsidP="00F21187">
      <w:pPr>
        <w:spacing w:line="240" w:lineRule="auto"/>
        <w:rPr>
          <w:rFonts w:cs="Arial"/>
          <w:bCs/>
          <w:szCs w:val="24"/>
        </w:rPr>
      </w:pPr>
      <w:r>
        <w:rPr>
          <w:rFonts w:cs="Arial"/>
          <w:bCs/>
          <w:szCs w:val="24"/>
        </w:rPr>
        <w:t>Musculoskeletal ill-health results in significant costs for individuals, employers, the health service and the wider economy.</w:t>
      </w:r>
    </w:p>
    <w:p w14:paraId="0B364714" w14:textId="77777777" w:rsidR="00F21187" w:rsidRDefault="00F21187" w:rsidP="00F21187">
      <w:pPr>
        <w:rPr>
          <w:rFonts w:cs="Arial"/>
          <w:szCs w:val="24"/>
        </w:rPr>
      </w:pPr>
      <w:r>
        <w:rPr>
          <w:rFonts w:cs="Arial"/>
          <w:szCs w:val="24"/>
        </w:rPr>
        <w:t>MSK conditions accounted for the third largest area of NHS programme spending at £5 billion in 2013-14.</w:t>
      </w:r>
      <w:r>
        <w:rPr>
          <w:rStyle w:val="EndnoteReference"/>
          <w:rFonts w:cs="Arial"/>
          <w:szCs w:val="24"/>
        </w:rPr>
        <w:endnoteReference w:id="65"/>
      </w:r>
    </w:p>
    <w:p w14:paraId="3C51841C" w14:textId="77777777" w:rsidR="00F21187" w:rsidRDefault="00F21187" w:rsidP="00F21187">
      <w:pPr>
        <w:rPr>
          <w:rFonts w:cs="Arial"/>
          <w:szCs w:val="24"/>
        </w:rPr>
      </w:pPr>
      <w:r>
        <w:rPr>
          <w:rFonts w:cs="Arial"/>
          <w:szCs w:val="24"/>
        </w:rPr>
        <w:t>Combined costs from worklessness and sickness absence in the UK amount to around £100 billion annually.</w:t>
      </w:r>
      <w:r>
        <w:rPr>
          <w:rStyle w:val="EndnoteReference"/>
          <w:rFonts w:cs="Arial"/>
          <w:szCs w:val="24"/>
        </w:rPr>
        <w:endnoteReference w:id="66"/>
      </w:r>
    </w:p>
    <w:p w14:paraId="1E4608B4" w14:textId="77777777" w:rsidR="00F21187" w:rsidRDefault="00F21187" w:rsidP="00F21187">
      <w:pPr>
        <w:rPr>
          <w:rFonts w:cs="Arial"/>
          <w:szCs w:val="24"/>
        </w:rPr>
      </w:pPr>
      <w:r>
        <w:rPr>
          <w:rFonts w:cs="Arial"/>
          <w:szCs w:val="24"/>
        </w:rPr>
        <w:t>Conditions such as back pain account for around 40% of all sickness absence in the NHS and costs around £400 million per year.</w:t>
      </w:r>
      <w:r>
        <w:rPr>
          <w:rStyle w:val="EndnoteReference"/>
          <w:rFonts w:cs="Arial"/>
          <w:szCs w:val="24"/>
        </w:rPr>
        <w:endnoteReference w:id="67"/>
      </w:r>
    </w:p>
    <w:p w14:paraId="7FC8B5C2" w14:textId="77777777" w:rsidR="00F21187" w:rsidRDefault="00F21187" w:rsidP="00F21187">
      <w:pPr>
        <w:rPr>
          <w:rFonts w:cs="Arial"/>
          <w:szCs w:val="24"/>
        </w:rPr>
      </w:pPr>
      <w:r>
        <w:rPr>
          <w:rFonts w:cs="Arial"/>
          <w:szCs w:val="24"/>
        </w:rPr>
        <w:t>Treating the two most common forms of arthritis (osteoarthritis and rheumatoid arthritis) is estimated to have cost the economy £10.2 billion in direct costs</w:t>
      </w:r>
      <w:r>
        <w:rPr>
          <w:rStyle w:val="FootnoteReference"/>
          <w:rFonts w:cs="Arial"/>
          <w:szCs w:val="24"/>
        </w:rPr>
        <w:footnoteReference w:id="9"/>
      </w:r>
      <w:r>
        <w:rPr>
          <w:rFonts w:cs="Arial"/>
          <w:szCs w:val="24"/>
        </w:rPr>
        <w:t xml:space="preserve"> to the NHS and wider healthcare system in 2017. Cumulatively the healthcare cost will reach £118.6 billion over the next decade.</w:t>
      </w:r>
      <w:r>
        <w:rPr>
          <w:rStyle w:val="EndnoteReference"/>
          <w:rFonts w:cs="Arial"/>
          <w:szCs w:val="24"/>
        </w:rPr>
        <w:endnoteReference w:id="68"/>
      </w:r>
    </w:p>
    <w:p w14:paraId="51F1C18C" w14:textId="77777777" w:rsidR="00F21187" w:rsidRDefault="00F21187" w:rsidP="00F21187">
      <w:pPr>
        <w:rPr>
          <w:rFonts w:cs="Arial"/>
          <w:szCs w:val="24"/>
        </w:rPr>
      </w:pPr>
      <w:r>
        <w:rPr>
          <w:rFonts w:cs="Arial"/>
          <w:szCs w:val="24"/>
        </w:rPr>
        <w:t>Back pain cost the UK economy an estimated £1.6 billion direct and £10 billion indirect costs</w:t>
      </w:r>
      <w:r>
        <w:rPr>
          <w:rStyle w:val="FootnoteReference"/>
          <w:rFonts w:cs="Arial"/>
          <w:szCs w:val="24"/>
        </w:rPr>
        <w:footnoteReference w:id="10"/>
      </w:r>
      <w:r>
        <w:rPr>
          <w:rFonts w:cs="Arial"/>
          <w:szCs w:val="24"/>
          <w:vertAlign w:val="superscript"/>
        </w:rPr>
        <w:t xml:space="preserve"> </w:t>
      </w:r>
      <w:r>
        <w:rPr>
          <w:rFonts w:cs="Arial"/>
          <w:szCs w:val="24"/>
        </w:rPr>
        <w:t>in 2000.</w:t>
      </w:r>
      <w:r>
        <w:rPr>
          <w:rStyle w:val="EndnoteReference"/>
          <w:rFonts w:cs="Arial"/>
          <w:szCs w:val="24"/>
        </w:rPr>
        <w:endnoteReference w:id="69"/>
      </w:r>
    </w:p>
    <w:p w14:paraId="429AEB41" w14:textId="77777777" w:rsidR="00F21187" w:rsidRDefault="00F21187" w:rsidP="00F21187">
      <w:pPr>
        <w:rPr>
          <w:rFonts w:eastAsia="FSMe" w:cs="Arial"/>
          <w:color w:val="70AD47" w:themeColor="accent6"/>
          <w:szCs w:val="24"/>
          <w:vertAlign w:val="superscript"/>
        </w:rPr>
      </w:pPr>
      <w:r>
        <w:rPr>
          <w:rFonts w:cs="Arial"/>
          <w:szCs w:val="24"/>
        </w:rPr>
        <w:t>The hospital costs of hip fracture alone are estimated at £1.1 billion per year in the UK.</w:t>
      </w:r>
      <w:r>
        <w:rPr>
          <w:rStyle w:val="EndnoteReference"/>
          <w:rFonts w:cs="Arial"/>
          <w:szCs w:val="24"/>
        </w:rPr>
        <w:endnoteReference w:id="70"/>
      </w:r>
    </w:p>
    <w:p w14:paraId="4C3FFCD2" w14:textId="77777777" w:rsidR="00F21187" w:rsidRDefault="00F21187" w:rsidP="00F21187">
      <w:pPr>
        <w:rPr>
          <w:rFonts w:cs="Arial"/>
          <w:szCs w:val="24"/>
        </w:rPr>
      </w:pPr>
      <w:r>
        <w:rPr>
          <w:rFonts w:cs="Arial"/>
          <w:szCs w:val="24"/>
        </w:rPr>
        <w:lastRenderedPageBreak/>
        <w:t xml:space="preserve">The total work-related costs of axial </w:t>
      </w:r>
      <w:proofErr w:type="spellStart"/>
      <w:r>
        <w:rPr>
          <w:rFonts w:cs="Arial"/>
          <w:szCs w:val="24"/>
        </w:rPr>
        <w:t>spondyloarthritis</w:t>
      </w:r>
      <w:proofErr w:type="spellEnd"/>
      <w:r>
        <w:rPr>
          <w:rFonts w:cs="Arial"/>
          <w:szCs w:val="24"/>
        </w:rPr>
        <w:t xml:space="preserve"> due to early retirement, absenteeism and presenteeism is estimated to be at £11,943 per person with axial </w:t>
      </w:r>
      <w:proofErr w:type="spellStart"/>
      <w:r>
        <w:rPr>
          <w:rFonts w:cs="Arial"/>
          <w:szCs w:val="24"/>
        </w:rPr>
        <w:t>spondyloarthritis</w:t>
      </w:r>
      <w:proofErr w:type="spellEnd"/>
      <w:r>
        <w:rPr>
          <w:rFonts w:cs="Arial"/>
          <w:szCs w:val="24"/>
        </w:rPr>
        <w:t xml:space="preserve"> per year.</w:t>
      </w:r>
      <w:r>
        <w:rPr>
          <w:rStyle w:val="EndnoteReference"/>
          <w:rFonts w:cs="Arial"/>
          <w:szCs w:val="24"/>
        </w:rPr>
        <w:endnoteReference w:id="71"/>
      </w:r>
    </w:p>
    <w:p w14:paraId="4DD2E6D2" w14:textId="77777777" w:rsidR="00F21187" w:rsidRDefault="00F21187" w:rsidP="00F21187">
      <w:pPr>
        <w:rPr>
          <w:rFonts w:cs="Arial"/>
          <w:szCs w:val="24"/>
          <w:vertAlign w:val="superscript"/>
        </w:rPr>
      </w:pPr>
      <w:r>
        <w:rPr>
          <w:rFonts w:cs="Arial"/>
          <w:szCs w:val="24"/>
        </w:rPr>
        <w:t>The cost of working days lost due to osteoarthritis and rheumatoid arthritis was estimated at £2.58 billion in 2017 rising to £3.43 billion by 2030.</w:t>
      </w:r>
      <w:r>
        <w:rPr>
          <w:rFonts w:cs="Arial"/>
          <w:szCs w:val="24"/>
          <w:vertAlign w:val="superscript"/>
        </w:rPr>
        <w:t>68</w:t>
      </w:r>
    </w:p>
    <w:p w14:paraId="2EEDDAA9" w14:textId="77777777" w:rsidR="00F21187" w:rsidRDefault="00F21187" w:rsidP="00F21187">
      <w:pPr>
        <w:rPr>
          <w:rFonts w:cs="Arial"/>
          <w:szCs w:val="24"/>
        </w:rPr>
      </w:pPr>
      <w:r>
        <w:rPr>
          <w:rFonts w:cs="Arial"/>
          <w:szCs w:val="24"/>
        </w:rPr>
        <w:t>Half (51%) of gross local authority expenditure on adult social care is on people over 65 years, of which a substantial number will have a musculoskeletal condition.</w:t>
      </w:r>
      <w:r>
        <w:rPr>
          <w:rStyle w:val="EndnoteReference"/>
          <w:rFonts w:cs="Arial"/>
          <w:szCs w:val="24"/>
        </w:rPr>
        <w:endnoteReference w:id="72"/>
      </w:r>
    </w:p>
    <w:p w14:paraId="75EA4D19" w14:textId="77777777" w:rsidR="00F21187" w:rsidRDefault="00F21187" w:rsidP="00F21187">
      <w:pPr>
        <w:autoSpaceDE w:val="0"/>
        <w:autoSpaceDN w:val="0"/>
        <w:adjustRightInd w:val="0"/>
        <w:spacing w:after="0" w:line="240" w:lineRule="auto"/>
        <w:rPr>
          <w:rFonts w:eastAsia="Calibre-Regular" w:cs="Arial"/>
          <w:szCs w:val="24"/>
          <w:vertAlign w:val="superscript"/>
        </w:rPr>
      </w:pPr>
      <w:r>
        <w:rPr>
          <w:rFonts w:eastAsia="Calibre-Regular" w:cs="Arial"/>
          <w:szCs w:val="24"/>
        </w:rPr>
        <w:t>Nearly three out of ten (27%) people with arthritis are not aware of the welfare benefits they are entitled to.</w:t>
      </w:r>
      <w:r>
        <w:rPr>
          <w:rFonts w:eastAsia="Calibre-Regular" w:cs="Arial"/>
          <w:szCs w:val="24"/>
          <w:vertAlign w:val="superscript"/>
        </w:rPr>
        <w:t>49</w:t>
      </w:r>
    </w:p>
    <w:p w14:paraId="389CB1C4" w14:textId="77777777" w:rsidR="00F21187" w:rsidRDefault="00F21187" w:rsidP="00F21187">
      <w:pPr>
        <w:autoSpaceDE w:val="0"/>
        <w:autoSpaceDN w:val="0"/>
        <w:adjustRightInd w:val="0"/>
        <w:spacing w:after="0" w:line="240" w:lineRule="auto"/>
        <w:rPr>
          <w:rFonts w:eastAsia="Calibre-Regular" w:cs="Arial"/>
          <w:szCs w:val="24"/>
          <w:vertAlign w:val="superscript"/>
        </w:rPr>
      </w:pPr>
    </w:p>
    <w:p w14:paraId="6E5C8571" w14:textId="77777777" w:rsidR="00F21187" w:rsidRDefault="00F21187" w:rsidP="00F21187">
      <w:pPr>
        <w:autoSpaceDE w:val="0"/>
        <w:autoSpaceDN w:val="0"/>
        <w:adjustRightInd w:val="0"/>
        <w:spacing w:after="0" w:line="240" w:lineRule="auto"/>
        <w:rPr>
          <w:rFonts w:eastAsia="Calibre-Regular" w:cs="Arial"/>
          <w:szCs w:val="24"/>
          <w:vertAlign w:val="superscript"/>
        </w:rPr>
      </w:pPr>
    </w:p>
    <w:p w14:paraId="6E7826B3" w14:textId="77777777" w:rsidR="00F21187" w:rsidRDefault="00F21187" w:rsidP="00F21187">
      <w:pPr>
        <w:pStyle w:val="Heading1"/>
        <w:rPr>
          <w:rFonts w:eastAsiaTheme="minorEastAsia"/>
        </w:rPr>
      </w:pPr>
    </w:p>
    <w:p w14:paraId="12719B8A" w14:textId="77777777" w:rsidR="00F21187" w:rsidRDefault="00F21187" w:rsidP="00F21187">
      <w:pPr>
        <w:pStyle w:val="Heading1"/>
        <w:rPr>
          <w:rFonts w:eastAsiaTheme="minorEastAsia"/>
        </w:rPr>
      </w:pPr>
    </w:p>
    <w:p w14:paraId="2B68B003" w14:textId="77777777" w:rsidR="00F21187" w:rsidRDefault="00F21187" w:rsidP="00F21187">
      <w:pPr>
        <w:pStyle w:val="Heading1"/>
        <w:rPr>
          <w:rFonts w:eastAsiaTheme="minorEastAsia"/>
        </w:rPr>
      </w:pPr>
    </w:p>
    <w:p w14:paraId="6A352360" w14:textId="77777777" w:rsidR="00F21187" w:rsidRDefault="00F21187" w:rsidP="00F21187">
      <w:pPr>
        <w:pStyle w:val="Heading1"/>
        <w:rPr>
          <w:rFonts w:eastAsiaTheme="minorEastAsia"/>
        </w:rPr>
      </w:pPr>
    </w:p>
    <w:p w14:paraId="139B143C" w14:textId="77777777" w:rsidR="00F21187" w:rsidRDefault="00F21187" w:rsidP="00F21187">
      <w:pPr>
        <w:pStyle w:val="Heading1"/>
        <w:rPr>
          <w:rFonts w:eastAsiaTheme="minorEastAsia"/>
        </w:rPr>
      </w:pPr>
    </w:p>
    <w:p w14:paraId="3F640D06" w14:textId="77777777" w:rsidR="00F21187" w:rsidRDefault="00F21187" w:rsidP="00F21187">
      <w:pPr>
        <w:pStyle w:val="Heading1"/>
        <w:rPr>
          <w:rFonts w:eastAsiaTheme="minorEastAsia"/>
        </w:rPr>
      </w:pPr>
    </w:p>
    <w:p w14:paraId="7C54871A" w14:textId="77777777" w:rsidR="00F21187" w:rsidRDefault="00F21187" w:rsidP="00F21187">
      <w:pPr>
        <w:pStyle w:val="Heading1"/>
        <w:rPr>
          <w:rFonts w:eastAsiaTheme="minorEastAsia"/>
        </w:rPr>
      </w:pPr>
    </w:p>
    <w:p w14:paraId="51CFEE2D" w14:textId="77777777" w:rsidR="00F21187" w:rsidRDefault="00F21187" w:rsidP="00F21187">
      <w:pPr>
        <w:pStyle w:val="Heading1"/>
        <w:rPr>
          <w:rFonts w:eastAsiaTheme="minorEastAsia"/>
        </w:rPr>
      </w:pPr>
    </w:p>
    <w:p w14:paraId="30F10665" w14:textId="77777777" w:rsidR="00F21187" w:rsidRDefault="00F21187" w:rsidP="00F21187">
      <w:pPr>
        <w:pStyle w:val="Heading1"/>
        <w:rPr>
          <w:rFonts w:eastAsiaTheme="minorEastAsia"/>
        </w:rPr>
      </w:pPr>
    </w:p>
    <w:p w14:paraId="298F2690" w14:textId="77777777" w:rsidR="00F21187" w:rsidRDefault="00F21187" w:rsidP="00F21187">
      <w:pPr>
        <w:pStyle w:val="Heading1"/>
        <w:rPr>
          <w:rFonts w:eastAsiaTheme="minorEastAsia"/>
        </w:rPr>
      </w:pPr>
    </w:p>
    <w:p w14:paraId="73C71BEE" w14:textId="77777777" w:rsidR="00F21187" w:rsidRDefault="00F21187" w:rsidP="00F21187">
      <w:pPr>
        <w:spacing w:after="0" w:line="276" w:lineRule="auto"/>
        <w:rPr>
          <w:rFonts w:cs="Arial"/>
          <w:b/>
          <w:color w:val="37A53C"/>
          <w:sz w:val="28"/>
          <w:szCs w:val="28"/>
        </w:rPr>
        <w:sectPr w:rsidR="00F21187">
          <w:footnotePr>
            <w:numFmt w:val="lowerLetter"/>
          </w:footnotePr>
          <w:endnotePr>
            <w:numFmt w:val="decimal"/>
          </w:endnotePr>
          <w:pgSz w:w="11906" w:h="16838"/>
          <w:pgMar w:top="567" w:right="566" w:bottom="567" w:left="567" w:header="720" w:footer="1224" w:gutter="0"/>
          <w:cols w:space="720"/>
        </w:sectPr>
      </w:pPr>
    </w:p>
    <w:p w14:paraId="38876D73" w14:textId="77777777" w:rsidR="00F21187" w:rsidRDefault="00F21187" w:rsidP="00F21187">
      <w:pPr>
        <w:pStyle w:val="Heading1"/>
        <w:rPr>
          <w:rFonts w:eastAsiaTheme="minorEastAsia"/>
        </w:rPr>
      </w:pPr>
      <w:bookmarkStart w:id="29" w:name="_Toc85547767"/>
      <w:r>
        <w:rPr>
          <w:rFonts w:eastAsiaTheme="minorEastAsia"/>
        </w:rPr>
        <w:lastRenderedPageBreak/>
        <w:t>09 MSK Calculator estimates</w:t>
      </w:r>
      <w:bookmarkEnd w:id="29"/>
    </w:p>
    <w:tbl>
      <w:tblPr>
        <w:tblStyle w:val="TableGrid"/>
        <w:tblpPr w:leftFromText="180" w:rightFromText="180" w:vertAnchor="text" w:horzAnchor="margin" w:tblpY="93"/>
        <w:tblW w:w="4861" w:type="pct"/>
        <w:tblInd w:w="0" w:type="dxa"/>
        <w:tblLook w:val="04A0" w:firstRow="1" w:lastRow="0" w:firstColumn="1" w:lastColumn="0" w:noHBand="0" w:noVBand="1"/>
      </w:tblPr>
      <w:tblGrid>
        <w:gridCol w:w="1805"/>
        <w:gridCol w:w="4476"/>
        <w:gridCol w:w="4567"/>
        <w:gridCol w:w="4312"/>
      </w:tblGrid>
      <w:tr w:rsidR="00F21187" w14:paraId="728FD5A3" w14:textId="77777777" w:rsidTr="00F21187">
        <w:trPr>
          <w:cnfStyle w:val="100000000000" w:firstRow="1" w:lastRow="0" w:firstColumn="0" w:lastColumn="0" w:oddVBand="0" w:evenVBand="0" w:oddHBand="0" w:evenHBand="0" w:firstRowFirstColumn="0" w:firstRowLastColumn="0" w:lastRowFirstColumn="0" w:lastRowLastColumn="0"/>
        </w:trPr>
        <w:tc>
          <w:tcPr>
            <w:tcW w:w="595" w:type="pct"/>
          </w:tcPr>
          <w:p w14:paraId="3E7EB583" w14:textId="77777777" w:rsidR="00F21187" w:rsidRDefault="00F21187">
            <w:pPr>
              <w:spacing w:line="240" w:lineRule="auto"/>
              <w:rPr>
                <w:b w:val="0"/>
                <w:bCs/>
                <w:lang w:eastAsia="en-US"/>
              </w:rPr>
            </w:pPr>
          </w:p>
        </w:tc>
        <w:tc>
          <w:tcPr>
            <w:tcW w:w="1476" w:type="pct"/>
            <w:hideMark/>
          </w:tcPr>
          <w:p w14:paraId="1E06292D" w14:textId="77777777" w:rsidR="00F21187" w:rsidRDefault="00F21187">
            <w:pPr>
              <w:spacing w:line="240" w:lineRule="auto"/>
            </w:pPr>
            <w:r>
              <w:t>England (2012)</w:t>
            </w:r>
          </w:p>
        </w:tc>
        <w:tc>
          <w:tcPr>
            <w:tcW w:w="1506" w:type="pct"/>
            <w:hideMark/>
          </w:tcPr>
          <w:p w14:paraId="6D665ADE" w14:textId="77777777" w:rsidR="00F21187" w:rsidRDefault="00F21187">
            <w:pPr>
              <w:spacing w:line="240" w:lineRule="auto"/>
            </w:pPr>
            <w:r>
              <w:t>Scotland (2016)</w:t>
            </w:r>
          </w:p>
        </w:tc>
        <w:tc>
          <w:tcPr>
            <w:tcW w:w="1422" w:type="pct"/>
            <w:hideMark/>
          </w:tcPr>
          <w:p w14:paraId="0AB8E758" w14:textId="77777777" w:rsidR="00F21187" w:rsidRDefault="00F21187">
            <w:pPr>
              <w:spacing w:line="240" w:lineRule="auto"/>
            </w:pPr>
            <w:r>
              <w:t>Wales (2017)</w:t>
            </w:r>
          </w:p>
        </w:tc>
      </w:tr>
      <w:tr w:rsidR="00F21187" w14:paraId="01DE8EF3" w14:textId="77777777" w:rsidTr="00F21187">
        <w:trPr>
          <w:trHeight w:val="1559"/>
        </w:trPr>
        <w:tc>
          <w:tcPr>
            <w:tcW w:w="595" w:type="pct"/>
            <w:tcBorders>
              <w:top w:val="single" w:sz="4" w:space="0" w:color="auto"/>
              <w:left w:val="single" w:sz="4" w:space="0" w:color="auto"/>
              <w:bottom w:val="single" w:sz="4" w:space="0" w:color="auto"/>
              <w:right w:val="single" w:sz="4" w:space="0" w:color="auto"/>
            </w:tcBorders>
          </w:tcPr>
          <w:p w14:paraId="1303B0AC" w14:textId="77777777" w:rsidR="00F21187" w:rsidRDefault="00F21187">
            <w:pPr>
              <w:spacing w:line="240" w:lineRule="auto"/>
              <w:rPr>
                <w:rFonts w:cs="Arial"/>
                <w:b/>
                <w:bCs/>
                <w:szCs w:val="24"/>
                <w:lang w:eastAsia="en-US"/>
              </w:rPr>
            </w:pPr>
            <w:r>
              <w:rPr>
                <w:rFonts w:cs="Arial"/>
                <w:b/>
                <w:bCs/>
                <w:szCs w:val="24"/>
                <w:lang w:eastAsia="en-US"/>
              </w:rPr>
              <w:t>Rheumatoid arthritis</w:t>
            </w:r>
          </w:p>
          <w:p w14:paraId="0F9D840A" w14:textId="77777777" w:rsidR="00F21187" w:rsidRDefault="00F21187">
            <w:pPr>
              <w:spacing w:line="240" w:lineRule="auto"/>
              <w:rPr>
                <w:rFonts w:cs="Arial"/>
                <w:b/>
                <w:bCs/>
                <w:szCs w:val="24"/>
                <w:lang w:eastAsia="en-US"/>
              </w:rPr>
            </w:pPr>
          </w:p>
        </w:tc>
        <w:tc>
          <w:tcPr>
            <w:tcW w:w="1476" w:type="pct"/>
            <w:tcBorders>
              <w:top w:val="single" w:sz="4" w:space="0" w:color="auto"/>
              <w:left w:val="single" w:sz="4" w:space="0" w:color="auto"/>
              <w:bottom w:val="single" w:sz="4" w:space="0" w:color="auto"/>
              <w:right w:val="single" w:sz="4" w:space="0" w:color="auto"/>
            </w:tcBorders>
            <w:vAlign w:val="center"/>
            <w:hideMark/>
          </w:tcPr>
          <w:p w14:paraId="28DF2709" w14:textId="77777777" w:rsidR="00F21187" w:rsidRDefault="00F21187">
            <w:pPr>
              <w:spacing w:line="240" w:lineRule="auto"/>
              <w:rPr>
                <w:rFonts w:eastAsia="Calibre-Regular" w:cs="Arial"/>
                <w:szCs w:val="24"/>
              </w:rPr>
            </w:pPr>
            <w:r>
              <w:rPr>
                <w:rFonts w:cs="Arial"/>
                <w:szCs w:val="24"/>
              </w:rPr>
              <w:t xml:space="preserve">0.84% </w:t>
            </w:r>
            <w:r>
              <w:rPr>
                <w:rFonts w:eastAsia="Calibre-Regular" w:cs="Arial"/>
                <w:szCs w:val="24"/>
              </w:rPr>
              <w:t xml:space="preserve">of people aged 16 and over in </w:t>
            </w:r>
            <w:r>
              <w:rPr>
                <w:rFonts w:cs="Arial"/>
                <w:szCs w:val="24"/>
              </w:rPr>
              <w:t xml:space="preserve">England </w:t>
            </w:r>
            <w:r>
              <w:rPr>
                <w:rFonts w:eastAsia="Calibre-Regular" w:cs="Arial"/>
                <w:szCs w:val="24"/>
              </w:rPr>
              <w:t xml:space="preserve">live with rheumatoid arthritis. That’s </w:t>
            </w:r>
            <w:r>
              <w:rPr>
                <w:rFonts w:cs="Arial"/>
                <w:szCs w:val="24"/>
              </w:rPr>
              <w:t>382,000</w:t>
            </w:r>
            <w:r>
              <w:rPr>
                <w:rFonts w:cs="Arial"/>
                <w:szCs w:val="24"/>
                <w:vertAlign w:val="superscript"/>
              </w:rPr>
              <w:t>*</w:t>
            </w:r>
            <w:r>
              <w:rPr>
                <w:rFonts w:cs="Arial"/>
                <w:szCs w:val="24"/>
              </w:rPr>
              <w:t xml:space="preserve"> people in 2019.</w:t>
            </w:r>
          </w:p>
        </w:tc>
        <w:tc>
          <w:tcPr>
            <w:tcW w:w="1506" w:type="pct"/>
            <w:tcBorders>
              <w:top w:val="single" w:sz="4" w:space="0" w:color="auto"/>
              <w:left w:val="single" w:sz="4" w:space="0" w:color="auto"/>
              <w:bottom w:val="single" w:sz="4" w:space="0" w:color="auto"/>
              <w:right w:val="single" w:sz="4" w:space="0" w:color="auto"/>
            </w:tcBorders>
            <w:vAlign w:val="center"/>
            <w:hideMark/>
          </w:tcPr>
          <w:p w14:paraId="13E94EFA" w14:textId="77777777" w:rsidR="00F21187" w:rsidRDefault="00F21187">
            <w:pPr>
              <w:spacing w:line="240" w:lineRule="auto"/>
              <w:rPr>
                <w:rFonts w:cs="Arial"/>
                <w:szCs w:val="24"/>
              </w:rPr>
            </w:pPr>
            <w:r>
              <w:rPr>
                <w:rFonts w:cs="Arial"/>
                <w:szCs w:val="24"/>
              </w:rPr>
              <w:t xml:space="preserve">0.78% </w:t>
            </w:r>
            <w:r>
              <w:rPr>
                <w:rFonts w:eastAsia="Calibre-Regular" w:cs="Arial"/>
                <w:szCs w:val="24"/>
              </w:rPr>
              <w:t xml:space="preserve">of people aged 18 and over in </w:t>
            </w:r>
            <w:r>
              <w:rPr>
                <w:rFonts w:cs="Arial"/>
                <w:szCs w:val="24"/>
              </w:rPr>
              <w:t xml:space="preserve">Scotland </w:t>
            </w:r>
            <w:r>
              <w:rPr>
                <w:rFonts w:eastAsia="Calibre-Regular" w:cs="Arial"/>
                <w:szCs w:val="24"/>
              </w:rPr>
              <w:t xml:space="preserve">live with rheumatoid arthritis. That’s </w:t>
            </w:r>
            <w:r>
              <w:rPr>
                <w:rFonts w:cs="Arial"/>
                <w:szCs w:val="24"/>
              </w:rPr>
              <w:t>37,000 people.</w:t>
            </w:r>
          </w:p>
        </w:tc>
        <w:tc>
          <w:tcPr>
            <w:tcW w:w="1422" w:type="pct"/>
            <w:tcBorders>
              <w:top w:val="single" w:sz="4" w:space="0" w:color="auto"/>
              <w:left w:val="single" w:sz="4" w:space="0" w:color="auto"/>
              <w:bottom w:val="single" w:sz="4" w:space="0" w:color="auto"/>
              <w:right w:val="single" w:sz="4" w:space="0" w:color="auto"/>
            </w:tcBorders>
            <w:vAlign w:val="center"/>
            <w:hideMark/>
          </w:tcPr>
          <w:p w14:paraId="788783F7" w14:textId="77777777" w:rsidR="00F21187" w:rsidRDefault="00F21187">
            <w:pPr>
              <w:spacing w:line="240" w:lineRule="auto"/>
              <w:rPr>
                <w:rFonts w:eastAsia="Calibre-Regular" w:cs="Arial"/>
                <w:szCs w:val="24"/>
              </w:rPr>
            </w:pPr>
            <w:r>
              <w:rPr>
                <w:rFonts w:cs="Arial"/>
                <w:szCs w:val="24"/>
              </w:rPr>
              <w:t xml:space="preserve">0.94% </w:t>
            </w:r>
            <w:r>
              <w:rPr>
                <w:rFonts w:eastAsia="Calibre-Regular" w:cs="Arial"/>
                <w:szCs w:val="24"/>
              </w:rPr>
              <w:t xml:space="preserve">of people aged 16 and over in </w:t>
            </w:r>
            <w:r>
              <w:rPr>
                <w:rFonts w:cs="Arial"/>
                <w:szCs w:val="24"/>
              </w:rPr>
              <w:t xml:space="preserve">Wales </w:t>
            </w:r>
            <w:r>
              <w:rPr>
                <w:rFonts w:eastAsia="Calibre-Regular" w:cs="Arial"/>
                <w:szCs w:val="24"/>
              </w:rPr>
              <w:t xml:space="preserve">live with rheumatoid arthritis. That’s </w:t>
            </w:r>
            <w:r>
              <w:rPr>
                <w:rFonts w:cs="Arial"/>
                <w:szCs w:val="24"/>
              </w:rPr>
              <w:t>27,000 people.</w:t>
            </w:r>
          </w:p>
        </w:tc>
      </w:tr>
      <w:tr w:rsidR="00F21187" w14:paraId="169C5AB5" w14:textId="77777777" w:rsidTr="00F21187">
        <w:trPr>
          <w:trHeight w:val="2106"/>
        </w:trPr>
        <w:tc>
          <w:tcPr>
            <w:tcW w:w="595" w:type="pct"/>
            <w:tcBorders>
              <w:top w:val="single" w:sz="4" w:space="0" w:color="auto"/>
              <w:left w:val="single" w:sz="4" w:space="0" w:color="auto"/>
              <w:bottom w:val="single" w:sz="4" w:space="0" w:color="auto"/>
              <w:right w:val="single" w:sz="4" w:space="0" w:color="auto"/>
            </w:tcBorders>
          </w:tcPr>
          <w:p w14:paraId="521EA943" w14:textId="77777777" w:rsidR="00F21187" w:rsidRDefault="00F21187">
            <w:pPr>
              <w:spacing w:after="170" w:line="260" w:lineRule="exact"/>
              <w:ind w:right="-258"/>
              <w:rPr>
                <w:rFonts w:eastAsia="Arial" w:cs="Arial"/>
                <w:b/>
                <w:bCs/>
                <w:szCs w:val="24"/>
                <w:lang w:eastAsia="en-US"/>
              </w:rPr>
            </w:pPr>
            <w:r>
              <w:rPr>
                <w:rFonts w:eastAsia="Arial" w:cs="Arial"/>
                <w:b/>
                <w:bCs/>
                <w:szCs w:val="24"/>
                <w:lang w:eastAsia="en-US"/>
              </w:rPr>
              <w:t>Back pain</w:t>
            </w:r>
          </w:p>
          <w:p w14:paraId="7D5056E4" w14:textId="77777777" w:rsidR="00F21187" w:rsidRDefault="00F21187">
            <w:pPr>
              <w:spacing w:line="240" w:lineRule="auto"/>
              <w:rPr>
                <w:rFonts w:cs="Arial"/>
                <w:b/>
                <w:bCs/>
                <w:szCs w:val="24"/>
                <w:lang w:eastAsia="en-US"/>
              </w:rPr>
            </w:pPr>
          </w:p>
        </w:tc>
        <w:tc>
          <w:tcPr>
            <w:tcW w:w="1476" w:type="pct"/>
            <w:tcBorders>
              <w:top w:val="single" w:sz="4" w:space="0" w:color="auto"/>
              <w:left w:val="single" w:sz="4" w:space="0" w:color="auto"/>
              <w:bottom w:val="single" w:sz="4" w:space="0" w:color="auto"/>
              <w:right w:val="single" w:sz="4" w:space="0" w:color="auto"/>
            </w:tcBorders>
            <w:vAlign w:val="center"/>
          </w:tcPr>
          <w:p w14:paraId="0E225AB9" w14:textId="77777777" w:rsidR="00F21187" w:rsidRDefault="00F21187">
            <w:pPr>
              <w:autoSpaceDE w:val="0"/>
              <w:autoSpaceDN w:val="0"/>
              <w:adjustRightInd w:val="0"/>
              <w:spacing w:line="240" w:lineRule="auto"/>
              <w:rPr>
                <w:rFonts w:eastAsia="Calibre-Regular" w:cs="Arial"/>
                <w:szCs w:val="24"/>
              </w:rPr>
            </w:pPr>
            <w:r>
              <w:rPr>
                <w:rFonts w:cs="Arial"/>
                <w:szCs w:val="24"/>
              </w:rPr>
              <w:t xml:space="preserve">16.9% </w:t>
            </w:r>
            <w:r>
              <w:rPr>
                <w:rFonts w:eastAsia="Calibre-Regular" w:cs="Arial"/>
                <w:szCs w:val="24"/>
              </w:rPr>
              <w:t xml:space="preserve">of people in </w:t>
            </w:r>
            <w:r>
              <w:rPr>
                <w:rFonts w:cs="Arial"/>
                <w:szCs w:val="24"/>
              </w:rPr>
              <w:t xml:space="preserve">England </w:t>
            </w:r>
            <w:r>
              <w:rPr>
                <w:rFonts w:eastAsia="Calibre-Regular" w:cs="Arial"/>
                <w:szCs w:val="24"/>
              </w:rPr>
              <w:t xml:space="preserve">have back pain. </w:t>
            </w:r>
          </w:p>
          <w:p w14:paraId="56FF2247" w14:textId="77777777" w:rsidR="00F21187" w:rsidRDefault="00F21187">
            <w:pPr>
              <w:autoSpaceDE w:val="0"/>
              <w:autoSpaceDN w:val="0"/>
              <w:adjustRightInd w:val="0"/>
              <w:spacing w:line="240" w:lineRule="auto"/>
              <w:rPr>
                <w:rFonts w:eastAsia="Calibre-Regular" w:cs="Arial"/>
                <w:szCs w:val="24"/>
              </w:rPr>
            </w:pPr>
          </w:p>
          <w:p w14:paraId="14D2EB0B" w14:textId="77777777" w:rsidR="00F21187" w:rsidRDefault="00F21187">
            <w:pPr>
              <w:autoSpaceDE w:val="0"/>
              <w:autoSpaceDN w:val="0"/>
              <w:adjustRightInd w:val="0"/>
              <w:spacing w:line="240" w:lineRule="auto"/>
              <w:rPr>
                <w:rFonts w:eastAsia="Calibre-Regular" w:cs="Arial"/>
                <w:szCs w:val="24"/>
              </w:rPr>
            </w:pPr>
            <w:r>
              <w:rPr>
                <w:rFonts w:eastAsia="Calibre-Regular" w:cs="Arial"/>
                <w:szCs w:val="24"/>
              </w:rPr>
              <w:t>That’s 9.5 million* people, 5.7 million* of whom have severe back pain in 2019.</w:t>
            </w:r>
          </w:p>
        </w:tc>
        <w:tc>
          <w:tcPr>
            <w:tcW w:w="1506" w:type="pct"/>
            <w:tcBorders>
              <w:top w:val="single" w:sz="4" w:space="0" w:color="auto"/>
              <w:left w:val="single" w:sz="4" w:space="0" w:color="auto"/>
              <w:bottom w:val="single" w:sz="4" w:space="0" w:color="auto"/>
              <w:right w:val="single" w:sz="4" w:space="0" w:color="auto"/>
            </w:tcBorders>
            <w:vAlign w:val="center"/>
          </w:tcPr>
          <w:p w14:paraId="7A8FB206" w14:textId="77777777" w:rsidR="00F21187" w:rsidRDefault="00F21187">
            <w:pPr>
              <w:autoSpaceDE w:val="0"/>
              <w:autoSpaceDN w:val="0"/>
              <w:adjustRightInd w:val="0"/>
              <w:spacing w:line="240" w:lineRule="auto"/>
              <w:rPr>
                <w:rFonts w:eastAsia="Calibre-Regular" w:cs="Arial"/>
                <w:szCs w:val="24"/>
              </w:rPr>
            </w:pPr>
            <w:r>
              <w:rPr>
                <w:rFonts w:cs="Arial"/>
                <w:szCs w:val="24"/>
              </w:rPr>
              <w:t xml:space="preserve">19.1% </w:t>
            </w:r>
            <w:r>
              <w:rPr>
                <w:rFonts w:eastAsia="Calibre-Regular" w:cs="Arial"/>
                <w:szCs w:val="24"/>
              </w:rPr>
              <w:t xml:space="preserve">of people in </w:t>
            </w:r>
            <w:r>
              <w:rPr>
                <w:rFonts w:cs="Arial"/>
                <w:szCs w:val="24"/>
              </w:rPr>
              <w:t xml:space="preserve">Scotland </w:t>
            </w:r>
            <w:r>
              <w:rPr>
                <w:rFonts w:eastAsia="Calibre-Regular" w:cs="Arial"/>
                <w:szCs w:val="24"/>
              </w:rPr>
              <w:t xml:space="preserve">have back pain. </w:t>
            </w:r>
          </w:p>
          <w:p w14:paraId="75AD96BF" w14:textId="77777777" w:rsidR="00F21187" w:rsidRDefault="00F21187">
            <w:pPr>
              <w:autoSpaceDE w:val="0"/>
              <w:autoSpaceDN w:val="0"/>
              <w:adjustRightInd w:val="0"/>
              <w:spacing w:line="240" w:lineRule="auto"/>
              <w:rPr>
                <w:rFonts w:eastAsia="Calibre-Regular" w:cs="Arial"/>
                <w:szCs w:val="24"/>
              </w:rPr>
            </w:pPr>
          </w:p>
          <w:p w14:paraId="1F7D2648" w14:textId="77777777" w:rsidR="00F21187" w:rsidRDefault="00F21187">
            <w:pPr>
              <w:autoSpaceDE w:val="0"/>
              <w:autoSpaceDN w:val="0"/>
              <w:adjustRightInd w:val="0"/>
              <w:spacing w:line="240" w:lineRule="auto"/>
              <w:rPr>
                <w:rFonts w:eastAsia="Calibre-Regular" w:cs="Arial"/>
                <w:szCs w:val="24"/>
              </w:rPr>
            </w:pPr>
            <w:r>
              <w:rPr>
                <w:rFonts w:eastAsia="Calibre-Regular" w:cs="Arial"/>
                <w:szCs w:val="24"/>
              </w:rPr>
              <w:t>That’s 910,000 people, 564,000 of whom have severe back pain.</w:t>
            </w:r>
          </w:p>
          <w:p w14:paraId="1F326C9A" w14:textId="77777777" w:rsidR="00F21187" w:rsidRDefault="00F21187">
            <w:pPr>
              <w:spacing w:line="240" w:lineRule="auto"/>
              <w:rPr>
                <w:rFonts w:cs="Arial"/>
                <w:b/>
                <w:bCs/>
                <w:szCs w:val="24"/>
                <w:lang w:eastAsia="en-US"/>
              </w:rPr>
            </w:pPr>
          </w:p>
        </w:tc>
        <w:tc>
          <w:tcPr>
            <w:tcW w:w="1422" w:type="pct"/>
            <w:tcBorders>
              <w:top w:val="single" w:sz="4" w:space="0" w:color="auto"/>
              <w:left w:val="single" w:sz="4" w:space="0" w:color="auto"/>
              <w:bottom w:val="single" w:sz="4" w:space="0" w:color="auto"/>
              <w:right w:val="single" w:sz="4" w:space="0" w:color="auto"/>
            </w:tcBorders>
            <w:vAlign w:val="center"/>
          </w:tcPr>
          <w:p w14:paraId="6C7D1E9E" w14:textId="77777777" w:rsidR="00F21187" w:rsidRDefault="00F21187">
            <w:pPr>
              <w:autoSpaceDE w:val="0"/>
              <w:autoSpaceDN w:val="0"/>
              <w:adjustRightInd w:val="0"/>
              <w:spacing w:line="240" w:lineRule="auto"/>
              <w:rPr>
                <w:rFonts w:eastAsia="Calibre-Regular" w:cs="Arial"/>
                <w:szCs w:val="24"/>
              </w:rPr>
            </w:pPr>
            <w:r>
              <w:rPr>
                <w:rFonts w:cs="Arial"/>
                <w:szCs w:val="24"/>
              </w:rPr>
              <w:t xml:space="preserve">18.3% </w:t>
            </w:r>
            <w:r>
              <w:rPr>
                <w:rFonts w:eastAsia="Calibre-Regular" w:cs="Arial"/>
                <w:szCs w:val="24"/>
              </w:rPr>
              <w:t xml:space="preserve">of people in </w:t>
            </w:r>
            <w:r>
              <w:rPr>
                <w:rFonts w:cs="Arial"/>
                <w:szCs w:val="24"/>
              </w:rPr>
              <w:t xml:space="preserve">Wales </w:t>
            </w:r>
            <w:r>
              <w:rPr>
                <w:rFonts w:eastAsia="Calibre-Regular" w:cs="Arial"/>
                <w:szCs w:val="24"/>
              </w:rPr>
              <w:t xml:space="preserve">have back pain. </w:t>
            </w:r>
          </w:p>
          <w:p w14:paraId="170C88F7" w14:textId="77777777" w:rsidR="00F21187" w:rsidRDefault="00F21187">
            <w:pPr>
              <w:autoSpaceDE w:val="0"/>
              <w:autoSpaceDN w:val="0"/>
              <w:adjustRightInd w:val="0"/>
              <w:spacing w:line="240" w:lineRule="auto"/>
              <w:rPr>
                <w:rFonts w:eastAsia="Calibre-Regular" w:cs="Arial"/>
                <w:szCs w:val="24"/>
              </w:rPr>
            </w:pPr>
          </w:p>
          <w:p w14:paraId="56EF1F0E" w14:textId="77777777" w:rsidR="00F21187" w:rsidRDefault="00F21187">
            <w:pPr>
              <w:autoSpaceDE w:val="0"/>
              <w:autoSpaceDN w:val="0"/>
              <w:adjustRightInd w:val="0"/>
              <w:spacing w:line="240" w:lineRule="auto"/>
              <w:rPr>
                <w:rFonts w:eastAsia="Calibre-Regular" w:cs="Arial"/>
                <w:szCs w:val="24"/>
              </w:rPr>
            </w:pPr>
            <w:r>
              <w:rPr>
                <w:rFonts w:eastAsia="Calibre-Regular" w:cs="Arial"/>
                <w:szCs w:val="24"/>
              </w:rPr>
              <w:t>That’s 523,000 people, 299,000 of whom have severe back pain.</w:t>
            </w:r>
          </w:p>
          <w:p w14:paraId="2E874630" w14:textId="77777777" w:rsidR="00F21187" w:rsidRDefault="00F21187">
            <w:pPr>
              <w:spacing w:line="240" w:lineRule="auto"/>
              <w:rPr>
                <w:rFonts w:cs="Arial"/>
                <w:b/>
                <w:bCs/>
                <w:szCs w:val="24"/>
                <w:lang w:eastAsia="en-US"/>
              </w:rPr>
            </w:pPr>
          </w:p>
        </w:tc>
      </w:tr>
      <w:tr w:rsidR="00F21187" w14:paraId="1C725DEF" w14:textId="77777777" w:rsidTr="00F21187">
        <w:trPr>
          <w:trHeight w:val="2060"/>
        </w:trPr>
        <w:tc>
          <w:tcPr>
            <w:tcW w:w="595" w:type="pct"/>
            <w:tcBorders>
              <w:top w:val="single" w:sz="4" w:space="0" w:color="auto"/>
              <w:left w:val="single" w:sz="4" w:space="0" w:color="auto"/>
              <w:bottom w:val="single" w:sz="4" w:space="0" w:color="auto"/>
              <w:right w:val="single" w:sz="4" w:space="0" w:color="auto"/>
            </w:tcBorders>
          </w:tcPr>
          <w:p w14:paraId="07509F3C" w14:textId="77777777" w:rsidR="00F21187" w:rsidRDefault="00F21187">
            <w:pPr>
              <w:spacing w:line="240" w:lineRule="auto"/>
              <w:rPr>
                <w:rFonts w:eastAsia="Calibre-Regular" w:cs="Arial"/>
                <w:b/>
                <w:bCs/>
                <w:szCs w:val="24"/>
              </w:rPr>
            </w:pPr>
            <w:r>
              <w:rPr>
                <w:rFonts w:eastAsia="Calibre-Regular" w:cs="Arial"/>
                <w:b/>
                <w:bCs/>
                <w:szCs w:val="24"/>
              </w:rPr>
              <w:t>Osteoarthritis of the knee</w:t>
            </w:r>
          </w:p>
          <w:p w14:paraId="3AF96D3B" w14:textId="77777777" w:rsidR="00F21187" w:rsidRDefault="00F21187">
            <w:pPr>
              <w:spacing w:line="240" w:lineRule="auto"/>
              <w:rPr>
                <w:rFonts w:cs="Arial"/>
                <w:b/>
                <w:bCs/>
                <w:szCs w:val="24"/>
                <w:lang w:eastAsia="en-US"/>
              </w:rPr>
            </w:pPr>
          </w:p>
        </w:tc>
        <w:tc>
          <w:tcPr>
            <w:tcW w:w="1476" w:type="pct"/>
            <w:tcBorders>
              <w:top w:val="single" w:sz="4" w:space="0" w:color="auto"/>
              <w:left w:val="single" w:sz="4" w:space="0" w:color="auto"/>
              <w:bottom w:val="single" w:sz="4" w:space="0" w:color="auto"/>
              <w:right w:val="single" w:sz="4" w:space="0" w:color="auto"/>
            </w:tcBorders>
            <w:vAlign w:val="center"/>
          </w:tcPr>
          <w:p w14:paraId="0DE03F43" w14:textId="77777777" w:rsidR="00F21187" w:rsidRDefault="00F21187">
            <w:pPr>
              <w:spacing w:line="240" w:lineRule="auto"/>
              <w:rPr>
                <w:rFonts w:cs="Arial"/>
                <w:szCs w:val="24"/>
                <w:lang w:eastAsia="en-US"/>
              </w:rPr>
            </w:pPr>
            <w:r>
              <w:rPr>
                <w:rFonts w:cs="Arial"/>
                <w:szCs w:val="24"/>
                <w:lang w:eastAsia="en-US"/>
              </w:rPr>
              <w:t xml:space="preserve">18.2% of people aged 45 and over in England have osteoarthritis of the knee. </w:t>
            </w:r>
          </w:p>
          <w:p w14:paraId="6EE7A41C" w14:textId="77777777" w:rsidR="00F21187" w:rsidRDefault="00F21187">
            <w:pPr>
              <w:spacing w:line="240" w:lineRule="auto"/>
              <w:rPr>
                <w:rFonts w:cs="Arial"/>
                <w:szCs w:val="24"/>
                <w:lang w:eastAsia="en-US"/>
              </w:rPr>
            </w:pPr>
          </w:p>
          <w:p w14:paraId="478FBDE8" w14:textId="77777777" w:rsidR="00F21187" w:rsidRDefault="00F21187">
            <w:pPr>
              <w:spacing w:line="240" w:lineRule="auto"/>
              <w:rPr>
                <w:rFonts w:cs="Arial"/>
                <w:lang w:eastAsia="en-US"/>
              </w:rPr>
            </w:pPr>
            <w:r>
              <w:rPr>
                <w:rFonts w:cs="Arial"/>
                <w:szCs w:val="24"/>
                <w:lang w:eastAsia="en-US"/>
              </w:rPr>
              <w:t xml:space="preserve">That’s 4.5 million* people, 1.5 million* of whom </w:t>
            </w:r>
            <w:r>
              <w:rPr>
                <w:rFonts w:cs="Arial"/>
                <w:lang w:eastAsia="en-US"/>
              </w:rPr>
              <w:t>have severe</w:t>
            </w:r>
            <w:r>
              <w:t xml:space="preserve"> </w:t>
            </w:r>
            <w:r>
              <w:rPr>
                <w:rFonts w:cs="Arial"/>
                <w:lang w:eastAsia="en-US"/>
              </w:rPr>
              <w:t xml:space="preserve">knee osteoarthritis </w:t>
            </w:r>
            <w:r>
              <w:rPr>
                <w:rFonts w:cs="Arial"/>
                <w:szCs w:val="24"/>
              </w:rPr>
              <w:t>in 2019.</w:t>
            </w:r>
          </w:p>
        </w:tc>
        <w:tc>
          <w:tcPr>
            <w:tcW w:w="1506" w:type="pct"/>
            <w:tcBorders>
              <w:top w:val="single" w:sz="4" w:space="0" w:color="auto"/>
              <w:left w:val="single" w:sz="4" w:space="0" w:color="auto"/>
              <w:bottom w:val="single" w:sz="4" w:space="0" w:color="auto"/>
              <w:right w:val="single" w:sz="4" w:space="0" w:color="auto"/>
            </w:tcBorders>
            <w:vAlign w:val="center"/>
          </w:tcPr>
          <w:p w14:paraId="7075514F" w14:textId="77777777" w:rsidR="00F21187" w:rsidRDefault="00F21187">
            <w:pPr>
              <w:spacing w:line="240" w:lineRule="auto"/>
              <w:rPr>
                <w:lang w:eastAsia="en-US"/>
              </w:rPr>
            </w:pPr>
            <w:r>
              <w:rPr>
                <w:rFonts w:cs="Arial"/>
                <w:lang w:eastAsia="en-US"/>
              </w:rPr>
              <w:t xml:space="preserve">16.6% of people </w:t>
            </w:r>
            <w:r>
              <w:rPr>
                <w:rFonts w:cs="Arial"/>
                <w:szCs w:val="24"/>
                <w:lang w:eastAsia="en-US"/>
              </w:rPr>
              <w:t xml:space="preserve">aged 45 and over </w:t>
            </w:r>
            <w:r>
              <w:rPr>
                <w:rFonts w:cs="Arial"/>
                <w:lang w:eastAsia="en-US"/>
              </w:rPr>
              <w:t xml:space="preserve">in Scotland have osteoarthritis of </w:t>
            </w:r>
            <w:r>
              <w:rPr>
                <w:lang w:eastAsia="en-US"/>
              </w:rPr>
              <w:t xml:space="preserve">the knee. </w:t>
            </w:r>
          </w:p>
          <w:p w14:paraId="5FBD3058" w14:textId="77777777" w:rsidR="00F21187" w:rsidRDefault="00F21187">
            <w:pPr>
              <w:spacing w:line="240" w:lineRule="auto"/>
              <w:rPr>
                <w:lang w:eastAsia="en-US"/>
              </w:rPr>
            </w:pPr>
          </w:p>
          <w:p w14:paraId="77F4887E" w14:textId="77777777" w:rsidR="00F21187" w:rsidRDefault="00F21187">
            <w:pPr>
              <w:spacing w:line="240" w:lineRule="auto"/>
              <w:rPr>
                <w:rFonts w:eastAsia="Arial" w:cs="Times New Roman"/>
                <w:szCs w:val="24"/>
                <w:lang w:eastAsia="en-US"/>
              </w:rPr>
            </w:pPr>
            <w:r>
              <w:rPr>
                <w:lang w:eastAsia="en-US"/>
              </w:rPr>
              <w:t xml:space="preserve">That’s 420,000 people, 104,000 of whom have </w:t>
            </w:r>
            <w:r>
              <w:rPr>
                <w:rFonts w:eastAsia="Arial" w:cs="Times New Roman"/>
                <w:szCs w:val="24"/>
                <w:lang w:eastAsia="en-US"/>
              </w:rPr>
              <w:t xml:space="preserve">severe knee osteoarthritis. </w:t>
            </w:r>
          </w:p>
          <w:p w14:paraId="7B253285" w14:textId="77777777" w:rsidR="00F21187" w:rsidRDefault="00F21187">
            <w:pPr>
              <w:spacing w:line="240" w:lineRule="auto"/>
              <w:rPr>
                <w:rFonts w:eastAsia="Arial" w:cs="Times New Roman"/>
                <w:szCs w:val="24"/>
                <w:lang w:eastAsia="en-US"/>
              </w:rPr>
            </w:pPr>
          </w:p>
          <w:p w14:paraId="5D10161F" w14:textId="77777777" w:rsidR="00F21187" w:rsidRDefault="00F21187">
            <w:pPr>
              <w:spacing w:line="240" w:lineRule="auto"/>
              <w:rPr>
                <w:rFonts w:cs="Arial"/>
                <w:b/>
                <w:bCs/>
                <w:szCs w:val="24"/>
                <w:lang w:eastAsia="en-US"/>
              </w:rPr>
            </w:pPr>
          </w:p>
        </w:tc>
        <w:tc>
          <w:tcPr>
            <w:tcW w:w="1422" w:type="pct"/>
            <w:tcBorders>
              <w:top w:val="single" w:sz="4" w:space="0" w:color="auto"/>
              <w:left w:val="single" w:sz="4" w:space="0" w:color="auto"/>
              <w:bottom w:val="single" w:sz="4" w:space="0" w:color="auto"/>
              <w:right w:val="single" w:sz="4" w:space="0" w:color="auto"/>
            </w:tcBorders>
            <w:vAlign w:val="center"/>
          </w:tcPr>
          <w:p w14:paraId="4D2D7C33" w14:textId="77777777" w:rsidR="00F21187" w:rsidRDefault="00F21187">
            <w:pPr>
              <w:spacing w:line="260" w:lineRule="exact"/>
              <w:ind w:right="-258"/>
              <w:rPr>
                <w:rFonts w:eastAsia="Arial" w:cs="Arial"/>
                <w:szCs w:val="24"/>
                <w:lang w:eastAsia="en-US"/>
              </w:rPr>
            </w:pPr>
            <w:r>
              <w:rPr>
                <w:rFonts w:eastAsia="Arial" w:cs="Arial"/>
                <w:szCs w:val="24"/>
                <w:lang w:eastAsia="en-US"/>
              </w:rPr>
              <w:t xml:space="preserve">17.2% of people </w:t>
            </w:r>
            <w:r>
              <w:rPr>
                <w:rFonts w:cs="Arial"/>
                <w:szCs w:val="24"/>
                <w:lang w:eastAsia="en-US"/>
              </w:rPr>
              <w:t xml:space="preserve">aged 45 and over </w:t>
            </w:r>
            <w:r>
              <w:rPr>
                <w:rFonts w:eastAsia="Arial" w:cs="Arial"/>
                <w:szCs w:val="24"/>
                <w:lang w:eastAsia="en-US"/>
              </w:rPr>
              <w:t xml:space="preserve">in Wales have osteoarthritis of the knee. </w:t>
            </w:r>
          </w:p>
          <w:p w14:paraId="6502A1AB" w14:textId="77777777" w:rsidR="00F21187" w:rsidRDefault="00F21187">
            <w:pPr>
              <w:spacing w:line="260" w:lineRule="exact"/>
              <w:ind w:right="-258"/>
              <w:rPr>
                <w:rFonts w:eastAsia="Arial" w:cs="Arial"/>
                <w:szCs w:val="24"/>
                <w:lang w:eastAsia="en-US"/>
              </w:rPr>
            </w:pPr>
          </w:p>
          <w:p w14:paraId="3101019A" w14:textId="77777777" w:rsidR="00F21187" w:rsidRDefault="00F21187">
            <w:pPr>
              <w:spacing w:line="260" w:lineRule="exact"/>
              <w:ind w:right="-258"/>
              <w:rPr>
                <w:rFonts w:eastAsia="Arial" w:cs="Arial"/>
                <w:szCs w:val="24"/>
                <w:lang w:eastAsia="en-US"/>
              </w:rPr>
            </w:pPr>
            <w:r>
              <w:rPr>
                <w:rFonts w:eastAsia="Arial" w:cs="Arial"/>
                <w:szCs w:val="24"/>
                <w:lang w:eastAsia="en-US"/>
              </w:rPr>
              <w:t xml:space="preserve">That’s 275,000 people, 71,000 of </w:t>
            </w:r>
          </w:p>
          <w:p w14:paraId="0EA73AAE" w14:textId="77777777" w:rsidR="00F21187" w:rsidRDefault="00F21187">
            <w:pPr>
              <w:spacing w:line="260" w:lineRule="exact"/>
              <w:ind w:right="-258"/>
              <w:rPr>
                <w:rFonts w:eastAsia="Arial" w:cs="Arial"/>
                <w:szCs w:val="24"/>
                <w:lang w:eastAsia="en-US"/>
              </w:rPr>
            </w:pPr>
            <w:r>
              <w:rPr>
                <w:rFonts w:eastAsia="Arial" w:cs="Arial"/>
                <w:szCs w:val="24"/>
                <w:lang w:eastAsia="en-US"/>
              </w:rPr>
              <w:t>whom have severe knee osteoarthritis.</w:t>
            </w:r>
          </w:p>
          <w:p w14:paraId="4082CE7F" w14:textId="77777777" w:rsidR="00F21187" w:rsidRDefault="00F21187">
            <w:pPr>
              <w:spacing w:line="260" w:lineRule="exact"/>
              <w:ind w:right="-258"/>
              <w:rPr>
                <w:rFonts w:eastAsia="Arial" w:cs="Arial"/>
                <w:szCs w:val="24"/>
                <w:lang w:eastAsia="en-US"/>
              </w:rPr>
            </w:pPr>
          </w:p>
          <w:p w14:paraId="7538BB32" w14:textId="77777777" w:rsidR="00F21187" w:rsidRDefault="00F21187">
            <w:pPr>
              <w:spacing w:line="260" w:lineRule="exact"/>
              <w:ind w:right="-258"/>
              <w:rPr>
                <w:rFonts w:eastAsia="Arial" w:cs="Arial"/>
                <w:szCs w:val="24"/>
                <w:lang w:eastAsia="en-US"/>
              </w:rPr>
            </w:pPr>
          </w:p>
        </w:tc>
      </w:tr>
      <w:tr w:rsidR="00F21187" w14:paraId="044B17A5" w14:textId="77777777" w:rsidTr="00F21187">
        <w:tc>
          <w:tcPr>
            <w:tcW w:w="595" w:type="pct"/>
            <w:tcBorders>
              <w:top w:val="single" w:sz="4" w:space="0" w:color="auto"/>
              <w:left w:val="single" w:sz="4" w:space="0" w:color="auto"/>
              <w:bottom w:val="single" w:sz="4" w:space="0" w:color="auto"/>
              <w:right w:val="single" w:sz="4" w:space="0" w:color="auto"/>
            </w:tcBorders>
            <w:hideMark/>
          </w:tcPr>
          <w:p w14:paraId="6A8A5B89" w14:textId="77777777" w:rsidR="00F21187" w:rsidRDefault="00F21187">
            <w:pPr>
              <w:spacing w:line="240" w:lineRule="auto"/>
              <w:rPr>
                <w:rFonts w:eastAsia="Calibre-Regular" w:cs="Arial"/>
                <w:b/>
                <w:bCs/>
                <w:szCs w:val="24"/>
              </w:rPr>
            </w:pPr>
            <w:r>
              <w:rPr>
                <w:rFonts w:eastAsia="Calibre-Regular" w:cs="Arial"/>
                <w:b/>
                <w:bCs/>
                <w:szCs w:val="24"/>
              </w:rPr>
              <w:t>Osteoarthritis of the hip</w:t>
            </w:r>
          </w:p>
        </w:tc>
        <w:tc>
          <w:tcPr>
            <w:tcW w:w="1476" w:type="pct"/>
            <w:tcBorders>
              <w:top w:val="single" w:sz="4" w:space="0" w:color="auto"/>
              <w:left w:val="single" w:sz="4" w:space="0" w:color="auto"/>
              <w:bottom w:val="single" w:sz="4" w:space="0" w:color="auto"/>
              <w:right w:val="single" w:sz="4" w:space="0" w:color="auto"/>
            </w:tcBorders>
            <w:vAlign w:val="center"/>
          </w:tcPr>
          <w:p w14:paraId="58E67C12" w14:textId="77777777" w:rsidR="00F21187" w:rsidRDefault="00F21187">
            <w:pPr>
              <w:spacing w:line="240" w:lineRule="auto"/>
              <w:rPr>
                <w:rFonts w:cs="Arial"/>
                <w:lang w:eastAsia="en-US"/>
              </w:rPr>
            </w:pPr>
            <w:r>
              <w:rPr>
                <w:rFonts w:cs="Arial"/>
                <w:lang w:eastAsia="en-US"/>
              </w:rPr>
              <w:t xml:space="preserve">10.9% of people </w:t>
            </w:r>
            <w:r>
              <w:rPr>
                <w:rFonts w:cs="Arial"/>
                <w:szCs w:val="24"/>
                <w:lang w:eastAsia="en-US"/>
              </w:rPr>
              <w:t xml:space="preserve">aged 45 and over </w:t>
            </w:r>
            <w:r>
              <w:rPr>
                <w:rFonts w:cs="Arial"/>
                <w:lang w:eastAsia="en-US"/>
              </w:rPr>
              <w:t xml:space="preserve">in England have osteoarthritis of the hip. </w:t>
            </w:r>
          </w:p>
          <w:p w14:paraId="1D32AE8F" w14:textId="77777777" w:rsidR="00F21187" w:rsidRDefault="00F21187">
            <w:pPr>
              <w:spacing w:line="240" w:lineRule="auto"/>
              <w:rPr>
                <w:rFonts w:cs="Arial"/>
                <w:lang w:eastAsia="en-US"/>
              </w:rPr>
            </w:pPr>
          </w:p>
          <w:p w14:paraId="3C5F6CA1" w14:textId="77777777" w:rsidR="00F21187" w:rsidRDefault="00F21187">
            <w:pPr>
              <w:spacing w:line="240" w:lineRule="auto"/>
              <w:rPr>
                <w:rFonts w:cs="Arial"/>
                <w:lang w:eastAsia="en-US"/>
              </w:rPr>
            </w:pPr>
            <w:r>
              <w:rPr>
                <w:rFonts w:cs="Arial"/>
                <w:lang w:eastAsia="en-US"/>
              </w:rPr>
              <w:t xml:space="preserve">That’s 2.7 million* people, 790,000* of whom have severe hip osteoarthritis </w:t>
            </w:r>
            <w:r>
              <w:rPr>
                <w:rFonts w:cs="Arial"/>
                <w:szCs w:val="24"/>
              </w:rPr>
              <w:t xml:space="preserve">in 2019. </w:t>
            </w:r>
          </w:p>
        </w:tc>
        <w:tc>
          <w:tcPr>
            <w:tcW w:w="1506" w:type="pct"/>
            <w:tcBorders>
              <w:top w:val="single" w:sz="4" w:space="0" w:color="auto"/>
              <w:left w:val="single" w:sz="4" w:space="0" w:color="auto"/>
              <w:bottom w:val="single" w:sz="4" w:space="0" w:color="auto"/>
              <w:right w:val="single" w:sz="4" w:space="0" w:color="auto"/>
            </w:tcBorders>
            <w:vAlign w:val="center"/>
          </w:tcPr>
          <w:p w14:paraId="33D73DAC" w14:textId="77777777" w:rsidR="00F21187" w:rsidRDefault="00F21187">
            <w:pPr>
              <w:spacing w:line="240" w:lineRule="auto"/>
              <w:rPr>
                <w:rFonts w:eastAsia="Arial" w:cs="Times New Roman"/>
                <w:szCs w:val="24"/>
                <w:lang w:eastAsia="en-US"/>
              </w:rPr>
            </w:pPr>
            <w:r>
              <w:rPr>
                <w:rFonts w:eastAsia="Arial" w:cs="Times New Roman"/>
                <w:szCs w:val="24"/>
                <w:lang w:eastAsia="en-US"/>
              </w:rPr>
              <w:t xml:space="preserve">10.1% of people </w:t>
            </w:r>
            <w:r>
              <w:rPr>
                <w:rFonts w:cs="Arial"/>
                <w:szCs w:val="24"/>
                <w:lang w:eastAsia="en-US"/>
              </w:rPr>
              <w:t xml:space="preserve">aged 45 and over </w:t>
            </w:r>
            <w:r>
              <w:rPr>
                <w:rFonts w:eastAsia="Arial" w:cs="Times New Roman"/>
                <w:szCs w:val="24"/>
                <w:lang w:eastAsia="en-US"/>
              </w:rPr>
              <w:t xml:space="preserve">in Scotland have osteoarthritis of the hip. </w:t>
            </w:r>
          </w:p>
          <w:p w14:paraId="6365B983" w14:textId="77777777" w:rsidR="00F21187" w:rsidRDefault="00F21187">
            <w:pPr>
              <w:spacing w:line="240" w:lineRule="auto"/>
              <w:rPr>
                <w:rFonts w:eastAsia="Arial" w:cs="Times New Roman"/>
                <w:szCs w:val="24"/>
                <w:lang w:eastAsia="en-US"/>
              </w:rPr>
            </w:pPr>
          </w:p>
          <w:p w14:paraId="508AC21C" w14:textId="77777777" w:rsidR="00F21187" w:rsidRDefault="00F21187">
            <w:pPr>
              <w:spacing w:line="240" w:lineRule="auto"/>
              <w:rPr>
                <w:szCs w:val="24"/>
                <w:lang w:eastAsia="en-US"/>
              </w:rPr>
            </w:pPr>
            <w:r>
              <w:rPr>
                <w:rFonts w:eastAsia="Arial" w:cs="Times New Roman"/>
                <w:szCs w:val="24"/>
                <w:lang w:eastAsia="en-US"/>
              </w:rPr>
              <w:t>That’s 256,000 people, 64,000 of whom have severe hip osteoarthritis.</w:t>
            </w:r>
          </w:p>
          <w:p w14:paraId="76459F1C" w14:textId="77777777" w:rsidR="00F21187" w:rsidRDefault="00F21187">
            <w:pPr>
              <w:spacing w:line="240" w:lineRule="auto"/>
              <w:rPr>
                <w:rFonts w:cs="Arial"/>
                <w:lang w:eastAsia="en-US"/>
              </w:rPr>
            </w:pPr>
          </w:p>
        </w:tc>
        <w:tc>
          <w:tcPr>
            <w:tcW w:w="1422" w:type="pct"/>
            <w:tcBorders>
              <w:top w:val="single" w:sz="4" w:space="0" w:color="auto"/>
              <w:left w:val="single" w:sz="4" w:space="0" w:color="auto"/>
              <w:bottom w:val="single" w:sz="4" w:space="0" w:color="auto"/>
              <w:right w:val="single" w:sz="4" w:space="0" w:color="auto"/>
            </w:tcBorders>
            <w:vAlign w:val="center"/>
          </w:tcPr>
          <w:p w14:paraId="67F5E76F" w14:textId="77777777" w:rsidR="00F21187" w:rsidRDefault="00F21187">
            <w:pPr>
              <w:spacing w:line="260" w:lineRule="exact"/>
              <w:ind w:right="-258"/>
              <w:rPr>
                <w:rFonts w:eastAsia="Arial" w:cs="Arial"/>
                <w:szCs w:val="24"/>
                <w:lang w:eastAsia="en-US"/>
              </w:rPr>
            </w:pPr>
            <w:r>
              <w:rPr>
                <w:rFonts w:eastAsia="Arial" w:cs="Arial"/>
                <w:szCs w:val="24"/>
                <w:lang w:eastAsia="en-US"/>
              </w:rPr>
              <w:t xml:space="preserve">11.2% of people </w:t>
            </w:r>
            <w:r>
              <w:rPr>
                <w:rFonts w:cs="Arial"/>
                <w:szCs w:val="24"/>
                <w:lang w:eastAsia="en-US"/>
              </w:rPr>
              <w:t xml:space="preserve">aged 45 and over </w:t>
            </w:r>
            <w:r>
              <w:rPr>
                <w:rFonts w:eastAsia="Arial" w:cs="Arial"/>
                <w:szCs w:val="24"/>
                <w:lang w:eastAsia="en-US"/>
              </w:rPr>
              <w:t xml:space="preserve">in Wales have osteoarthritis of the hip. </w:t>
            </w:r>
          </w:p>
          <w:p w14:paraId="5FBC8DAD" w14:textId="77777777" w:rsidR="00F21187" w:rsidRDefault="00F21187">
            <w:pPr>
              <w:spacing w:line="260" w:lineRule="exact"/>
              <w:ind w:right="-258"/>
              <w:rPr>
                <w:rFonts w:eastAsia="Arial" w:cs="Arial"/>
                <w:szCs w:val="24"/>
                <w:lang w:eastAsia="en-US"/>
              </w:rPr>
            </w:pPr>
          </w:p>
          <w:p w14:paraId="5F940574" w14:textId="77777777" w:rsidR="00F21187" w:rsidRDefault="00F21187">
            <w:pPr>
              <w:spacing w:line="260" w:lineRule="exact"/>
              <w:ind w:right="-258"/>
              <w:rPr>
                <w:rFonts w:eastAsia="Arial" w:cs="Arial"/>
                <w:szCs w:val="24"/>
                <w:lang w:eastAsia="en-US"/>
              </w:rPr>
            </w:pPr>
            <w:r>
              <w:rPr>
                <w:rFonts w:eastAsia="Arial" w:cs="Arial"/>
                <w:szCs w:val="24"/>
                <w:lang w:eastAsia="en-US"/>
              </w:rPr>
              <w:t xml:space="preserve">That’s 180,000 people, 48,000 of </w:t>
            </w:r>
          </w:p>
          <w:p w14:paraId="4CA22AA7" w14:textId="77777777" w:rsidR="00F21187" w:rsidRDefault="00F21187">
            <w:pPr>
              <w:spacing w:line="260" w:lineRule="exact"/>
              <w:ind w:right="-258"/>
              <w:rPr>
                <w:rFonts w:eastAsia="Arial" w:cs="Arial"/>
                <w:szCs w:val="24"/>
                <w:lang w:eastAsia="en-US"/>
              </w:rPr>
            </w:pPr>
            <w:r>
              <w:rPr>
                <w:rFonts w:eastAsia="Arial" w:cs="Arial"/>
                <w:szCs w:val="24"/>
                <w:lang w:eastAsia="en-US"/>
              </w:rPr>
              <w:t>whom have severe hip osteoarthritis.</w:t>
            </w:r>
          </w:p>
        </w:tc>
      </w:tr>
    </w:tbl>
    <w:p w14:paraId="4FD6D9A6" w14:textId="77777777" w:rsidR="00F21187" w:rsidRDefault="00F21187" w:rsidP="00F21187">
      <w:pPr>
        <w:tabs>
          <w:tab w:val="left" w:pos="1021"/>
        </w:tabs>
        <w:spacing w:after="170" w:line="260" w:lineRule="exact"/>
        <w:ind w:right="-258"/>
        <w:rPr>
          <w:rFonts w:eastAsia="Arial" w:cs="Arial"/>
          <w:szCs w:val="24"/>
          <w:lang w:eastAsia="en-US"/>
        </w:rPr>
      </w:pPr>
      <w:r>
        <w:rPr>
          <w:rFonts w:eastAsia="Arial" w:cs="Arial"/>
          <w:szCs w:val="24"/>
          <w:lang w:eastAsia="en-US"/>
        </w:rPr>
        <w:t>*</w:t>
      </w:r>
      <w:proofErr w:type="gramStart"/>
      <w:r>
        <w:rPr>
          <w:rFonts w:eastAsia="Arial" w:cs="Arial"/>
          <w:szCs w:val="24"/>
          <w:lang w:eastAsia="en-US"/>
        </w:rPr>
        <w:t>percentage</w:t>
      </w:r>
      <w:proofErr w:type="gramEnd"/>
      <w:r>
        <w:rPr>
          <w:rFonts w:eastAsia="Arial" w:cs="Arial"/>
          <w:szCs w:val="24"/>
          <w:lang w:eastAsia="en-US"/>
        </w:rPr>
        <w:t xml:space="preserve"> prevalence has been applied to mid-2019 population estimates.</w:t>
      </w:r>
    </w:p>
    <w:p w14:paraId="0068A4CD" w14:textId="77777777" w:rsidR="00F21187" w:rsidRDefault="00F21187" w:rsidP="00F21187">
      <w:pPr>
        <w:tabs>
          <w:tab w:val="left" w:pos="1021"/>
        </w:tabs>
        <w:spacing w:after="170" w:line="260" w:lineRule="exact"/>
        <w:ind w:right="-258"/>
        <w:rPr>
          <w:rFonts w:eastAsia="Arial" w:cs="Arial"/>
          <w:szCs w:val="24"/>
          <w:lang w:eastAsia="en-US"/>
        </w:rPr>
      </w:pPr>
      <w:r>
        <w:rPr>
          <w:rFonts w:eastAsia="Arial" w:cs="Arial"/>
          <w:szCs w:val="24"/>
          <w:lang w:eastAsia="en-US"/>
        </w:rPr>
        <w:t xml:space="preserve">Access local level MSK Calculator estimates and technical documents  </w:t>
      </w:r>
      <w:hyperlink r:id="rId47" w:history="1">
        <w:r>
          <w:rPr>
            <w:rStyle w:val="Hyperlink"/>
            <w:rFonts w:eastAsia="Arial"/>
            <w:szCs w:val="24"/>
            <w:lang w:eastAsia="en-US"/>
          </w:rPr>
          <w:t>here</w:t>
        </w:r>
      </w:hyperlink>
      <w:r>
        <w:rPr>
          <w:rFonts w:eastAsia="Arial" w:cs="Arial"/>
          <w:szCs w:val="24"/>
          <w:lang w:eastAsia="en-US"/>
        </w:rPr>
        <w:t xml:space="preserve">. </w:t>
      </w:r>
    </w:p>
    <w:p w14:paraId="49870ABD" w14:textId="77777777" w:rsidR="00F21187" w:rsidRDefault="00F21187" w:rsidP="00F21187">
      <w:pPr>
        <w:spacing w:after="0" w:line="240" w:lineRule="auto"/>
        <w:rPr>
          <w:rFonts w:eastAsia="Arial" w:cs="Arial"/>
          <w:szCs w:val="24"/>
          <w:lang w:eastAsia="en-US"/>
        </w:rPr>
        <w:sectPr w:rsidR="00F21187">
          <w:footnotePr>
            <w:numFmt w:val="lowerRoman"/>
          </w:footnotePr>
          <w:endnotePr>
            <w:numFmt w:val="decimal"/>
          </w:endnotePr>
          <w:pgSz w:w="16838" w:h="11906" w:orient="landscape"/>
          <w:pgMar w:top="567" w:right="678" w:bottom="567" w:left="567" w:header="680" w:footer="1245" w:gutter="0"/>
          <w:cols w:space="720"/>
        </w:sectPr>
      </w:pPr>
    </w:p>
    <w:p w14:paraId="5CB3CC54" w14:textId="77777777" w:rsidR="00F21187" w:rsidRDefault="00F21187" w:rsidP="00F21187"/>
    <w:p w14:paraId="78B2884E" w14:textId="77777777" w:rsidR="00F21187" w:rsidRDefault="00F21187" w:rsidP="00F21187">
      <w:pPr>
        <w:pStyle w:val="Heading1"/>
        <w:rPr>
          <w:rFonts w:eastAsiaTheme="minorEastAsia"/>
        </w:rPr>
      </w:pPr>
      <w:bookmarkStart w:id="30" w:name="_Toc83890170"/>
      <w:bookmarkStart w:id="31" w:name="_Toc85547768"/>
      <w:r>
        <w:rPr>
          <w:rFonts w:eastAsiaTheme="minorEastAsia"/>
        </w:rPr>
        <w:t>10 Glossary</w:t>
      </w:r>
      <w:bookmarkEnd w:id="30"/>
      <w:bookmarkEnd w:id="31"/>
    </w:p>
    <w:p w14:paraId="742417B6" w14:textId="77777777" w:rsidR="00F21187" w:rsidRDefault="00F21187" w:rsidP="00F21187">
      <w:pPr>
        <w:spacing w:after="0" w:line="276" w:lineRule="auto"/>
        <w:rPr>
          <w:rFonts w:cs="Arial"/>
          <w:b/>
          <w:color w:val="37A53C"/>
          <w:sz w:val="28"/>
          <w:szCs w:val="28"/>
        </w:rPr>
        <w:sectPr w:rsidR="00F21187">
          <w:footnotePr>
            <w:numFmt w:val="lowerLetter"/>
          </w:footnotePr>
          <w:pgSz w:w="16838" w:h="11906" w:orient="landscape"/>
          <w:pgMar w:top="567" w:right="567" w:bottom="567" w:left="567" w:header="748" w:footer="748" w:gutter="0"/>
          <w:cols w:space="720"/>
        </w:sectPr>
      </w:pPr>
    </w:p>
    <w:p w14:paraId="27AE993B" w14:textId="77777777" w:rsidR="00F21187" w:rsidRDefault="00F21187" w:rsidP="00F21187">
      <w:pPr>
        <w:spacing w:after="0" w:line="240" w:lineRule="auto"/>
        <w:ind w:right="-258"/>
        <w:rPr>
          <w:rFonts w:eastAsia="Arial" w:cs="Arial"/>
          <w:szCs w:val="24"/>
          <w:lang w:eastAsia="en-US"/>
        </w:rPr>
      </w:pPr>
    </w:p>
    <w:p w14:paraId="70392680" w14:textId="77777777" w:rsidR="00F21187" w:rsidRDefault="00F21187" w:rsidP="00F21187">
      <w:pPr>
        <w:spacing w:after="0" w:line="240" w:lineRule="auto"/>
        <w:rPr>
          <w:rFonts w:eastAsia="Arial" w:cs="Arial"/>
          <w:szCs w:val="24"/>
          <w:lang w:eastAsia="en-US"/>
        </w:rPr>
        <w:sectPr w:rsidR="00F21187">
          <w:footnotePr>
            <w:numFmt w:val="lowerRoman"/>
          </w:footnotePr>
          <w:endnotePr>
            <w:numFmt w:val="decimal"/>
          </w:endnotePr>
          <w:type w:val="continuous"/>
          <w:pgSz w:w="16838" w:h="11906" w:orient="landscape"/>
          <w:pgMar w:top="567" w:right="678" w:bottom="567" w:left="567" w:header="680" w:footer="1245" w:gutter="0"/>
          <w:cols w:space="720"/>
        </w:sectPr>
      </w:pPr>
    </w:p>
    <w:p w14:paraId="5B86F3EF"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Arthritis </w:t>
      </w:r>
      <w:r>
        <w:rPr>
          <w:rFonts w:eastAsia="Arial" w:cs="Arial"/>
          <w:szCs w:val="24"/>
          <w:lang w:eastAsia="en-US"/>
        </w:rPr>
        <w:t xml:space="preserve">- a general term that most people use to mean painful joints. Medically, it refers to many different conditions leading to inflamed or damaged joints. </w:t>
      </w:r>
    </w:p>
    <w:p w14:paraId="63490657" w14:textId="77777777" w:rsidR="00F21187" w:rsidRDefault="00F21187" w:rsidP="00F21187">
      <w:pPr>
        <w:spacing w:after="0" w:line="240" w:lineRule="auto"/>
        <w:ind w:right="-258"/>
        <w:rPr>
          <w:rFonts w:eastAsia="Arial" w:cs="Arial"/>
          <w:szCs w:val="24"/>
          <w:lang w:eastAsia="en-US"/>
        </w:rPr>
      </w:pPr>
    </w:p>
    <w:p w14:paraId="038534BD"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Comorbidity </w:t>
      </w:r>
      <w:r>
        <w:rPr>
          <w:rFonts w:eastAsia="Arial" w:cs="Arial"/>
          <w:szCs w:val="24"/>
          <w:lang w:eastAsia="en-US"/>
        </w:rPr>
        <w:t>- any additional health conditions that people may have, beyond the main condition being addressed.</w:t>
      </w:r>
      <w:r>
        <w:rPr>
          <w:rFonts w:eastAsia="Arial" w:cs="Arial"/>
          <w:szCs w:val="24"/>
          <w:vertAlign w:val="superscript"/>
          <w:lang w:eastAsia="en-US"/>
        </w:rPr>
        <w:t>43</w:t>
      </w:r>
      <w:r>
        <w:rPr>
          <w:rFonts w:eastAsia="Arial" w:cs="Arial"/>
          <w:szCs w:val="24"/>
          <w:lang w:eastAsia="en-US"/>
        </w:rPr>
        <w:t xml:space="preserve"> </w:t>
      </w:r>
    </w:p>
    <w:p w14:paraId="2844F72D" w14:textId="77777777" w:rsidR="00F21187" w:rsidRDefault="00F21187" w:rsidP="00F21187">
      <w:pPr>
        <w:spacing w:after="0" w:line="240" w:lineRule="auto"/>
        <w:ind w:right="-258"/>
        <w:rPr>
          <w:rFonts w:eastAsia="Arial" w:cs="Arial"/>
          <w:szCs w:val="24"/>
          <w:lang w:eastAsia="en-US"/>
        </w:rPr>
      </w:pPr>
    </w:p>
    <w:p w14:paraId="78CB3BE1"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Disabled </w:t>
      </w:r>
      <w:r>
        <w:rPr>
          <w:rFonts w:eastAsia="Arial" w:cs="Arial"/>
          <w:szCs w:val="24"/>
          <w:lang w:eastAsia="en-US"/>
        </w:rPr>
        <w:t>- someone with a long-term condition which substantially reduces their ability to carry out day-to-day activities, as defined by the Equality Act 2010.</w:t>
      </w:r>
    </w:p>
    <w:p w14:paraId="27C53255" w14:textId="77777777" w:rsidR="00F21187" w:rsidRDefault="00F21187" w:rsidP="00F21187">
      <w:pPr>
        <w:spacing w:after="0" w:line="240" w:lineRule="auto"/>
        <w:ind w:right="-258"/>
        <w:rPr>
          <w:rFonts w:eastAsia="Arial" w:cs="Arial"/>
          <w:szCs w:val="24"/>
          <w:lang w:eastAsia="en-US"/>
        </w:rPr>
      </w:pPr>
    </w:p>
    <w:p w14:paraId="5328A9A4" w14:textId="77777777" w:rsidR="00F21187" w:rsidRDefault="00F21187" w:rsidP="00F21187">
      <w:pPr>
        <w:spacing w:after="0" w:line="240" w:lineRule="auto"/>
        <w:ind w:right="-258"/>
        <w:rPr>
          <w:rFonts w:eastAsia="Arial" w:cs="Arial"/>
          <w:szCs w:val="24"/>
          <w:vertAlign w:val="superscript"/>
          <w:lang w:eastAsia="en-US"/>
        </w:rPr>
      </w:pPr>
      <w:r>
        <w:rPr>
          <w:rFonts w:eastAsia="Arial" w:cs="Arial"/>
          <w:b/>
          <w:bCs/>
          <w:szCs w:val="24"/>
          <w:lang w:eastAsia="en-US"/>
        </w:rPr>
        <w:t>Disability adjusted life-year (DALY) - a</w:t>
      </w:r>
      <w:r>
        <w:rPr>
          <w:rFonts w:eastAsia="Arial" w:cs="Arial"/>
          <w:szCs w:val="24"/>
          <w:lang w:eastAsia="en-US"/>
        </w:rPr>
        <w:t xml:space="preserve"> single metric of overall disease burden combining years of life lost (YLLs) due to mortality and years lived with disability (YLDs). One DALY can be thought of as one lost healthy life year.</w:t>
      </w:r>
      <w:r>
        <w:rPr>
          <w:rFonts w:eastAsia="Arial" w:cs="Arial"/>
          <w:szCs w:val="24"/>
          <w:vertAlign w:val="superscript"/>
          <w:lang w:eastAsia="en-US"/>
        </w:rPr>
        <w:t>1</w:t>
      </w:r>
    </w:p>
    <w:p w14:paraId="5A00CC59" w14:textId="77777777" w:rsidR="00F21187" w:rsidRDefault="00F21187" w:rsidP="00F21187">
      <w:pPr>
        <w:spacing w:after="0" w:line="240" w:lineRule="auto"/>
        <w:ind w:right="-258"/>
        <w:rPr>
          <w:rFonts w:eastAsia="Arial" w:cs="Arial"/>
          <w:szCs w:val="24"/>
          <w:lang w:eastAsia="en-US"/>
        </w:rPr>
      </w:pPr>
    </w:p>
    <w:p w14:paraId="6BAC4F04" w14:textId="77777777" w:rsidR="00F21187" w:rsidRDefault="00F21187" w:rsidP="00F21187">
      <w:pPr>
        <w:spacing w:after="0" w:line="240" w:lineRule="auto"/>
        <w:ind w:right="-258"/>
        <w:rPr>
          <w:rFonts w:eastAsia="Arial" w:cs="Arial"/>
          <w:szCs w:val="24"/>
          <w:vertAlign w:val="superscript"/>
          <w:lang w:eastAsia="en-US"/>
        </w:rPr>
      </w:pPr>
      <w:r>
        <w:rPr>
          <w:rFonts w:eastAsia="Arial" w:cs="Arial"/>
          <w:b/>
          <w:bCs/>
          <w:szCs w:val="24"/>
          <w:lang w:eastAsia="en-US"/>
        </w:rPr>
        <w:t xml:space="preserve">Employment </w:t>
      </w:r>
      <w:r>
        <w:rPr>
          <w:rFonts w:eastAsia="Arial" w:cs="Arial"/>
          <w:szCs w:val="24"/>
          <w:lang w:eastAsia="en-US"/>
        </w:rPr>
        <w:t>- people aged 16 or over who did some paid work in the reference week (whether as an employee or self-employed); those who had a job that they were temporarily away from (</w:t>
      </w:r>
      <w:proofErr w:type="spellStart"/>
      <w:proofErr w:type="gramStart"/>
      <w:r>
        <w:rPr>
          <w:rFonts w:eastAsia="Arial" w:cs="Arial"/>
          <w:szCs w:val="24"/>
          <w:lang w:eastAsia="en-US"/>
        </w:rPr>
        <w:t>eg</w:t>
      </w:r>
      <w:proofErr w:type="spellEnd"/>
      <w:proofErr w:type="gramEnd"/>
      <w:r>
        <w:rPr>
          <w:rFonts w:eastAsia="Arial" w:cs="Arial"/>
          <w:szCs w:val="24"/>
          <w:lang w:eastAsia="en-US"/>
        </w:rPr>
        <w:t xml:space="preserve"> on holiday); those on government-supported training and employment programmes and those doing unpaid family work (</w:t>
      </w:r>
      <w:proofErr w:type="spellStart"/>
      <w:r>
        <w:rPr>
          <w:rFonts w:eastAsia="Arial" w:cs="Arial"/>
          <w:szCs w:val="24"/>
          <w:lang w:eastAsia="en-US"/>
        </w:rPr>
        <w:t>eg</w:t>
      </w:r>
      <w:proofErr w:type="spellEnd"/>
      <w:r>
        <w:rPr>
          <w:rFonts w:eastAsia="Arial" w:cs="Arial"/>
          <w:szCs w:val="24"/>
          <w:lang w:eastAsia="en-US"/>
        </w:rPr>
        <w:t xml:space="preserve"> working in a family business).</w:t>
      </w:r>
      <w:r>
        <w:rPr>
          <w:rFonts w:eastAsia="Arial" w:cs="Arial"/>
          <w:szCs w:val="24"/>
          <w:vertAlign w:val="superscript"/>
          <w:lang w:eastAsia="en-US"/>
        </w:rPr>
        <w:t>49</w:t>
      </w:r>
    </w:p>
    <w:p w14:paraId="4C6040BE" w14:textId="77777777" w:rsidR="00F21187" w:rsidRDefault="00F21187" w:rsidP="00F21187">
      <w:pPr>
        <w:spacing w:after="0" w:line="240" w:lineRule="auto"/>
        <w:ind w:right="-258"/>
        <w:rPr>
          <w:rFonts w:eastAsia="Arial" w:cs="Arial"/>
          <w:szCs w:val="24"/>
          <w:lang w:eastAsia="en-US"/>
        </w:rPr>
      </w:pPr>
    </w:p>
    <w:p w14:paraId="23A08F45"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Finished Admission Episodes (FAEs) -</w:t>
      </w:r>
      <w:r>
        <w:t xml:space="preserve"> t</w:t>
      </w:r>
      <w:r>
        <w:rPr>
          <w:rFonts w:eastAsia="Arial" w:cs="Arial"/>
          <w:szCs w:val="24"/>
          <w:lang w:eastAsia="en-US"/>
        </w:rPr>
        <w:t>he first period of admitted patient care under one consultant within one healthcare provider.</w:t>
      </w:r>
    </w:p>
    <w:p w14:paraId="61A5002A" w14:textId="77777777" w:rsidR="00F21187" w:rsidRDefault="00F21187" w:rsidP="00F21187">
      <w:pPr>
        <w:spacing w:after="0" w:line="240" w:lineRule="auto"/>
        <w:ind w:right="-258"/>
        <w:rPr>
          <w:rFonts w:eastAsia="Arial" w:cs="Arial"/>
          <w:szCs w:val="24"/>
          <w:lang w:eastAsia="en-US"/>
        </w:rPr>
      </w:pPr>
    </w:p>
    <w:p w14:paraId="12042AA5"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Fit note </w:t>
      </w:r>
      <w:r>
        <w:rPr>
          <w:rFonts w:eastAsia="Arial" w:cs="Arial"/>
          <w:szCs w:val="24"/>
          <w:lang w:eastAsia="en-US"/>
        </w:rPr>
        <w:t>- issued to patients by doctors and other healthcare professionals following an assessment of their fitness for work. People who are off work sick for more than seven days will normally need to provide their employer with a fit note.</w:t>
      </w:r>
      <w:r>
        <w:rPr>
          <w:rFonts w:eastAsia="Arial" w:cs="Arial"/>
          <w:szCs w:val="24"/>
          <w:vertAlign w:val="superscript"/>
          <w:lang w:eastAsia="en-US"/>
        </w:rPr>
        <w:t>54</w:t>
      </w:r>
      <w:r>
        <w:rPr>
          <w:rFonts w:eastAsia="Arial" w:cs="Arial"/>
          <w:szCs w:val="24"/>
          <w:lang w:eastAsia="en-US"/>
        </w:rPr>
        <w:t xml:space="preserve"> </w:t>
      </w:r>
    </w:p>
    <w:p w14:paraId="44E4B82F" w14:textId="77777777" w:rsidR="00F21187" w:rsidRDefault="00F21187" w:rsidP="00F21187">
      <w:pPr>
        <w:spacing w:after="0" w:line="240" w:lineRule="auto"/>
        <w:ind w:right="-258"/>
        <w:rPr>
          <w:rFonts w:eastAsia="Arial" w:cs="Arial"/>
          <w:szCs w:val="24"/>
          <w:lang w:eastAsia="en-US"/>
        </w:rPr>
      </w:pPr>
    </w:p>
    <w:p w14:paraId="157ABE6A"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Inactive </w:t>
      </w:r>
      <w:r>
        <w:rPr>
          <w:rFonts w:eastAsia="Arial" w:cs="Arial"/>
          <w:szCs w:val="24"/>
          <w:lang w:eastAsia="en-US"/>
        </w:rPr>
        <w:t xml:space="preserve">- participating in less than 30 minutes of moderate intensity physical activity (any activity where the effort put in is enough to raise your breathing rate) per week.  </w:t>
      </w:r>
    </w:p>
    <w:p w14:paraId="20E7AC18" w14:textId="77777777" w:rsidR="00F21187" w:rsidRDefault="00F21187" w:rsidP="00F21187">
      <w:pPr>
        <w:spacing w:after="0" w:line="240" w:lineRule="auto"/>
        <w:ind w:right="-258"/>
        <w:rPr>
          <w:rFonts w:eastAsia="Arial" w:cs="Arial"/>
          <w:szCs w:val="24"/>
          <w:lang w:eastAsia="en-US"/>
        </w:rPr>
      </w:pPr>
    </w:p>
    <w:p w14:paraId="72C1E869" w14:textId="77777777" w:rsidR="00F21187" w:rsidRDefault="00F21187" w:rsidP="00F21187">
      <w:pPr>
        <w:spacing w:after="0" w:line="240" w:lineRule="auto"/>
        <w:ind w:right="-258"/>
        <w:rPr>
          <w:rFonts w:eastAsia="Arial" w:cs="Arial"/>
          <w:szCs w:val="24"/>
          <w:lang w:eastAsia="en-US"/>
        </w:rPr>
      </w:pPr>
      <w:r>
        <w:rPr>
          <w:b/>
          <w:bCs/>
        </w:rPr>
        <w:t>Long-term condition</w:t>
      </w:r>
      <w:r>
        <w:t xml:space="preserve">-health conditions that are persistent and recurrent. The list of conditions included in this definition vary depending on source. UK national health survey data use the following harmonised measure sometimes referred to as ‘long-lasting health conditions’: “Do you have any physical or mental health conditions or illnesses lasting or expected to last for 12 months or more?”. </w:t>
      </w:r>
    </w:p>
    <w:p w14:paraId="13FE003B" w14:textId="77777777" w:rsidR="00F21187" w:rsidRDefault="00F21187" w:rsidP="00F21187">
      <w:pPr>
        <w:spacing w:after="0" w:line="240" w:lineRule="auto"/>
        <w:ind w:right="-258"/>
        <w:rPr>
          <w:rFonts w:eastAsia="Arial" w:cs="Arial"/>
          <w:szCs w:val="24"/>
          <w:lang w:eastAsia="en-US"/>
        </w:rPr>
      </w:pPr>
    </w:p>
    <w:p w14:paraId="125B831F"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Morbidity </w:t>
      </w:r>
      <w:r>
        <w:rPr>
          <w:rFonts w:eastAsia="Arial" w:cs="Arial"/>
          <w:szCs w:val="24"/>
          <w:lang w:eastAsia="en-US"/>
        </w:rPr>
        <w:t>- a term used to describe the state of being ill, diseased or disabled. It refers to the level of sickness and disability characterising a population.</w:t>
      </w:r>
    </w:p>
    <w:p w14:paraId="5BC1EBC4" w14:textId="77777777" w:rsidR="00F21187" w:rsidRDefault="00F21187" w:rsidP="00F21187">
      <w:pPr>
        <w:spacing w:after="0" w:line="240" w:lineRule="auto"/>
        <w:ind w:right="-258"/>
        <w:rPr>
          <w:rFonts w:eastAsia="Arial" w:cs="Arial"/>
          <w:szCs w:val="24"/>
          <w:vertAlign w:val="superscript"/>
          <w:lang w:eastAsia="en-US"/>
        </w:rPr>
      </w:pPr>
      <w:r>
        <w:rPr>
          <w:rFonts w:eastAsia="Arial" w:cs="Arial"/>
          <w:b/>
          <w:bCs/>
          <w:szCs w:val="24"/>
          <w:lang w:eastAsia="en-US"/>
        </w:rPr>
        <w:t xml:space="preserve">Multimorbidity </w:t>
      </w:r>
      <w:r>
        <w:rPr>
          <w:rFonts w:eastAsia="Arial" w:cs="Arial"/>
          <w:szCs w:val="24"/>
          <w:lang w:eastAsia="en-US"/>
        </w:rPr>
        <w:t>- a person living with multimorbidity has two or more long-term chronic conditions.</w:t>
      </w:r>
      <w:r>
        <w:rPr>
          <w:rFonts w:eastAsia="Arial" w:cs="Arial"/>
          <w:szCs w:val="24"/>
          <w:vertAlign w:val="superscript"/>
          <w:lang w:eastAsia="en-US"/>
        </w:rPr>
        <w:t>43</w:t>
      </w:r>
    </w:p>
    <w:p w14:paraId="397E9E30" w14:textId="77777777" w:rsidR="00F21187" w:rsidRDefault="00F21187" w:rsidP="00F21187">
      <w:pPr>
        <w:spacing w:after="0" w:line="240" w:lineRule="auto"/>
        <w:ind w:right="-258"/>
        <w:rPr>
          <w:rFonts w:eastAsia="Arial" w:cs="Arial"/>
          <w:szCs w:val="24"/>
          <w:lang w:eastAsia="en-US"/>
        </w:rPr>
      </w:pPr>
    </w:p>
    <w:p w14:paraId="49876510"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Prevalence </w:t>
      </w:r>
      <w:r>
        <w:rPr>
          <w:rFonts w:eastAsia="Arial" w:cs="Arial"/>
          <w:szCs w:val="24"/>
          <w:lang w:eastAsia="en-US"/>
        </w:rPr>
        <w:t xml:space="preserve">- the percentage of a population that is affected with a disease at a given time. </w:t>
      </w:r>
    </w:p>
    <w:p w14:paraId="6A3CF78B" w14:textId="77777777" w:rsidR="00F21187" w:rsidRDefault="00F21187" w:rsidP="00F21187">
      <w:pPr>
        <w:spacing w:after="0" w:line="240" w:lineRule="auto"/>
        <w:ind w:right="-258"/>
        <w:rPr>
          <w:rFonts w:eastAsia="Arial" w:cs="Arial"/>
          <w:szCs w:val="24"/>
          <w:lang w:eastAsia="en-US"/>
        </w:rPr>
      </w:pPr>
    </w:p>
    <w:p w14:paraId="3FF17C71"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Risk factor </w:t>
      </w:r>
      <w:r>
        <w:rPr>
          <w:rFonts w:eastAsia="Arial" w:cs="Arial"/>
          <w:szCs w:val="24"/>
          <w:lang w:eastAsia="en-US"/>
        </w:rPr>
        <w:t>- any attribute, characteristic or exposure of an individual that increases the likelihood of developing a disease or disorder. Some risk factors are modifiable, because you can change them (</w:t>
      </w:r>
      <w:proofErr w:type="spellStart"/>
      <w:proofErr w:type="gramStart"/>
      <w:r>
        <w:rPr>
          <w:rFonts w:eastAsia="Arial" w:cs="Arial"/>
          <w:szCs w:val="24"/>
          <w:lang w:eastAsia="en-US"/>
        </w:rPr>
        <w:t>eg</w:t>
      </w:r>
      <w:proofErr w:type="spellEnd"/>
      <w:proofErr w:type="gramEnd"/>
      <w:r>
        <w:rPr>
          <w:rFonts w:eastAsia="Arial" w:cs="Arial"/>
          <w:szCs w:val="24"/>
          <w:lang w:eastAsia="en-US"/>
        </w:rPr>
        <w:t xml:space="preserve"> smoking, obesity, diet) other risk factors are non-modifiable, because you can’t directly change them (</w:t>
      </w:r>
      <w:proofErr w:type="spellStart"/>
      <w:r>
        <w:rPr>
          <w:rFonts w:eastAsia="Arial" w:cs="Arial"/>
          <w:szCs w:val="24"/>
          <w:lang w:eastAsia="en-US"/>
        </w:rPr>
        <w:t>eg</w:t>
      </w:r>
      <w:proofErr w:type="spellEnd"/>
      <w:r>
        <w:rPr>
          <w:rFonts w:eastAsia="Arial" w:cs="Arial"/>
          <w:szCs w:val="24"/>
          <w:lang w:eastAsia="en-US"/>
        </w:rPr>
        <w:t xml:space="preserve"> age, family history, genetics). </w:t>
      </w:r>
    </w:p>
    <w:p w14:paraId="2E3FD8F0" w14:textId="77777777" w:rsidR="00F21187" w:rsidRDefault="00F21187" w:rsidP="00F21187">
      <w:pPr>
        <w:spacing w:after="0" w:line="240" w:lineRule="auto"/>
        <w:ind w:right="-258"/>
        <w:rPr>
          <w:rFonts w:eastAsia="Arial" w:cs="Arial"/>
          <w:szCs w:val="24"/>
          <w:lang w:eastAsia="en-US"/>
        </w:rPr>
      </w:pPr>
    </w:p>
    <w:p w14:paraId="62723984" w14:textId="77777777" w:rsidR="00F21187" w:rsidRDefault="00F21187" w:rsidP="00F21187">
      <w:pPr>
        <w:spacing w:after="0" w:line="240" w:lineRule="auto"/>
        <w:ind w:right="-258"/>
        <w:rPr>
          <w:rFonts w:eastAsia="Arial" w:cs="Arial"/>
          <w:szCs w:val="24"/>
          <w:lang w:eastAsia="en-US"/>
        </w:rPr>
      </w:pPr>
      <w:r>
        <w:rPr>
          <w:rFonts w:eastAsia="Arial" w:cs="Arial"/>
          <w:b/>
          <w:bCs/>
          <w:szCs w:val="24"/>
          <w:lang w:eastAsia="en-US"/>
        </w:rPr>
        <w:t xml:space="preserve">Unemployment </w:t>
      </w:r>
      <w:r>
        <w:rPr>
          <w:rFonts w:eastAsia="Arial" w:cs="Arial"/>
          <w:szCs w:val="24"/>
          <w:lang w:eastAsia="en-US"/>
        </w:rPr>
        <w:t>- refers to people without a job, who were able to start work in the two weeks following their Annual Population Survey interview, and who had either looked for work in the four weeks prior to interview or were waiting to start a job they had already obtained.</w:t>
      </w:r>
      <w:r>
        <w:rPr>
          <w:rFonts w:eastAsia="Arial" w:cs="Arial"/>
          <w:szCs w:val="24"/>
          <w:vertAlign w:val="superscript"/>
          <w:lang w:eastAsia="en-US"/>
        </w:rPr>
        <w:t>49</w:t>
      </w:r>
      <w:r>
        <w:rPr>
          <w:rFonts w:eastAsia="Arial" w:cs="Arial"/>
          <w:szCs w:val="24"/>
          <w:lang w:eastAsia="en-US"/>
        </w:rPr>
        <w:t xml:space="preserve"> </w:t>
      </w:r>
    </w:p>
    <w:p w14:paraId="53155DFC" w14:textId="77777777" w:rsidR="00F21187" w:rsidRDefault="00F21187" w:rsidP="00F21187">
      <w:pPr>
        <w:spacing w:after="0" w:line="240" w:lineRule="auto"/>
        <w:ind w:right="-258"/>
        <w:rPr>
          <w:rFonts w:eastAsia="Arial" w:cs="Arial"/>
          <w:szCs w:val="24"/>
          <w:lang w:eastAsia="en-US"/>
        </w:rPr>
      </w:pPr>
    </w:p>
    <w:p w14:paraId="75C36F00" w14:textId="77777777" w:rsidR="00F21187" w:rsidRDefault="00F21187" w:rsidP="00F21187">
      <w:pPr>
        <w:spacing w:after="0" w:line="240" w:lineRule="auto"/>
        <w:ind w:right="-258"/>
        <w:rPr>
          <w:rFonts w:eastAsia="Arial" w:cs="Arial"/>
          <w:szCs w:val="24"/>
          <w:lang w:eastAsia="en-US"/>
        </w:rPr>
      </w:pPr>
      <w:proofErr w:type="gramStart"/>
      <w:r>
        <w:rPr>
          <w:rFonts w:eastAsia="Arial" w:cs="Arial"/>
          <w:b/>
          <w:bCs/>
          <w:szCs w:val="24"/>
          <w:lang w:eastAsia="en-US"/>
        </w:rPr>
        <w:t>Work days</w:t>
      </w:r>
      <w:proofErr w:type="gramEnd"/>
      <w:r>
        <w:rPr>
          <w:rFonts w:eastAsia="Arial" w:cs="Arial"/>
          <w:b/>
          <w:bCs/>
          <w:szCs w:val="24"/>
          <w:lang w:eastAsia="en-US"/>
        </w:rPr>
        <w:t xml:space="preserve"> lost </w:t>
      </w:r>
      <w:r>
        <w:rPr>
          <w:rFonts w:eastAsia="Arial" w:cs="Arial"/>
          <w:szCs w:val="24"/>
          <w:lang w:eastAsia="en-US"/>
        </w:rPr>
        <w:t xml:space="preserve">- the number of work days lost for all people in employment aged over 16 years due to sickness absence.  </w:t>
      </w:r>
    </w:p>
    <w:p w14:paraId="658646C3" w14:textId="77777777" w:rsidR="00F21187" w:rsidRDefault="00F21187" w:rsidP="00F21187">
      <w:pPr>
        <w:spacing w:after="0" w:line="240" w:lineRule="auto"/>
        <w:ind w:right="-258"/>
        <w:rPr>
          <w:rFonts w:eastAsia="Arial" w:cs="Arial"/>
          <w:szCs w:val="24"/>
          <w:lang w:eastAsia="en-US"/>
        </w:rPr>
      </w:pPr>
    </w:p>
    <w:p w14:paraId="6B55991A" w14:textId="77777777" w:rsidR="00F21187" w:rsidRDefault="00F21187" w:rsidP="00F21187">
      <w:pPr>
        <w:spacing w:after="0" w:line="240" w:lineRule="auto"/>
        <w:ind w:right="-258"/>
        <w:rPr>
          <w:rFonts w:eastAsia="Arial" w:cs="Arial"/>
          <w:szCs w:val="24"/>
          <w:vertAlign w:val="superscript"/>
          <w:lang w:eastAsia="en-US"/>
        </w:rPr>
      </w:pPr>
      <w:r>
        <w:rPr>
          <w:rFonts w:eastAsia="Arial" w:cs="Arial"/>
          <w:b/>
          <w:bCs/>
          <w:szCs w:val="24"/>
          <w:lang w:eastAsia="en-US"/>
        </w:rPr>
        <w:t xml:space="preserve">Years lived with disability (YLD) - </w:t>
      </w:r>
      <w:r>
        <w:rPr>
          <w:rFonts w:eastAsia="Arial" w:cs="Arial"/>
          <w:szCs w:val="24"/>
          <w:lang w:eastAsia="en-US"/>
        </w:rPr>
        <w:t>years of life lived with any short-term or long-term health loss.</w:t>
      </w:r>
      <w:r>
        <w:rPr>
          <w:rFonts w:eastAsia="Arial" w:cs="Arial"/>
          <w:szCs w:val="24"/>
          <w:vertAlign w:val="superscript"/>
          <w:lang w:eastAsia="en-US"/>
        </w:rPr>
        <w:t>1</w:t>
      </w:r>
    </w:p>
    <w:p w14:paraId="4DDF7AB9" w14:textId="77777777" w:rsidR="00F21187" w:rsidRDefault="00F21187" w:rsidP="00F21187">
      <w:pPr>
        <w:spacing w:after="0" w:line="240" w:lineRule="auto"/>
        <w:ind w:right="-258"/>
        <w:rPr>
          <w:rFonts w:eastAsia="Arial" w:cs="Arial"/>
          <w:szCs w:val="24"/>
          <w:vertAlign w:val="superscript"/>
          <w:lang w:eastAsia="en-US"/>
        </w:rPr>
      </w:pPr>
    </w:p>
    <w:p w14:paraId="1173E3DA" w14:textId="77777777" w:rsidR="00F21187" w:rsidRDefault="00F21187" w:rsidP="00F21187">
      <w:pPr>
        <w:spacing w:after="0" w:line="240" w:lineRule="auto"/>
        <w:ind w:right="-258"/>
        <w:rPr>
          <w:rFonts w:eastAsia="Arial" w:cs="Arial"/>
          <w:szCs w:val="24"/>
          <w:lang w:eastAsia="en-US"/>
        </w:rPr>
      </w:pPr>
      <w:r>
        <w:rPr>
          <w:rFonts w:eastAsia="Arial" w:cs="Arial"/>
          <w:szCs w:val="24"/>
          <w:lang w:eastAsia="en-US"/>
        </w:rPr>
        <w:t xml:space="preserve">                                                                     </w:t>
      </w:r>
    </w:p>
    <w:p w14:paraId="25F8D11A" w14:textId="77777777" w:rsidR="00F21187" w:rsidRDefault="00F21187" w:rsidP="00F21187">
      <w:pPr>
        <w:spacing w:after="0" w:line="240" w:lineRule="auto"/>
        <w:rPr>
          <w:rFonts w:eastAsia="Arial" w:cs="Arial"/>
          <w:szCs w:val="24"/>
          <w:lang w:eastAsia="en-US"/>
        </w:rPr>
        <w:sectPr w:rsidR="00F21187">
          <w:footnotePr>
            <w:numFmt w:val="lowerRoman"/>
          </w:footnotePr>
          <w:endnotePr>
            <w:numFmt w:val="decimal"/>
          </w:endnotePr>
          <w:type w:val="continuous"/>
          <w:pgSz w:w="16838" w:h="11906" w:orient="landscape"/>
          <w:pgMar w:top="567" w:right="678" w:bottom="567" w:left="567" w:header="680" w:footer="1245" w:gutter="0"/>
          <w:cols w:num="3" w:space="720"/>
        </w:sectPr>
      </w:pPr>
    </w:p>
    <w:p w14:paraId="07233CCB" w14:textId="61394641" w:rsidR="006043B5" w:rsidRPr="00F21187" w:rsidRDefault="00F21187" w:rsidP="00F21187">
      <w:pPr>
        <w:pStyle w:val="Heading1"/>
        <w:rPr>
          <w:rFonts w:eastAsiaTheme="minorEastAsia"/>
        </w:rPr>
      </w:pPr>
      <w:bookmarkStart w:id="32" w:name="_Toc85547769"/>
      <w:r>
        <w:rPr>
          <w:rFonts w:eastAsiaTheme="minorEastAsia"/>
        </w:rPr>
        <w:lastRenderedPageBreak/>
        <w:t>11 References</w:t>
      </w:r>
      <w:bookmarkEnd w:id="32"/>
    </w:p>
    <w:sectPr w:rsidR="006043B5" w:rsidRPr="00F211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F41A" w14:textId="77777777" w:rsidR="00F21187" w:rsidRDefault="00F21187" w:rsidP="00F21187">
      <w:pPr>
        <w:spacing w:after="0" w:line="240" w:lineRule="auto"/>
      </w:pPr>
      <w:r>
        <w:separator/>
      </w:r>
    </w:p>
  </w:endnote>
  <w:endnote w:type="continuationSeparator" w:id="0">
    <w:p w14:paraId="128B9EDE" w14:textId="77777777" w:rsidR="00F21187" w:rsidRDefault="00F21187" w:rsidP="00F21187">
      <w:pPr>
        <w:spacing w:after="0" w:line="240" w:lineRule="auto"/>
      </w:pPr>
      <w:r>
        <w:continuationSeparator/>
      </w:r>
    </w:p>
  </w:endnote>
  <w:endnote w:id="1">
    <w:p w14:paraId="6DA01D29"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Global Burden of Disease Collaborative Network (2020). Global Burden of Disease Study 2019 (GBD 2019) Results. Institute for Health Metrics and Evaluation (IHME), Seattle.</w:t>
      </w:r>
    </w:p>
  </w:endnote>
  <w:endnote w:id="2">
    <w:p w14:paraId="328BAA94"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 xml:space="preserve">Belluz, J. &amp; Hoffman, S. (2015). The one chart you need to understand any health study. Vox. </w:t>
      </w:r>
      <w:hyperlink r:id="rId1" w:history="1">
        <w:r>
          <w:rPr>
            <w:rStyle w:val="Hyperlink"/>
            <w:rFonts w:cstheme="minorHAnsi"/>
            <w:sz w:val="16"/>
            <w:szCs w:val="16"/>
          </w:rPr>
          <w:t>https://www.vox.com/2015/1/5/7482871/types-of-study-design</w:t>
        </w:r>
      </w:hyperlink>
      <w:r>
        <w:rPr>
          <w:rFonts w:cstheme="minorHAnsi"/>
          <w:sz w:val="16"/>
          <w:szCs w:val="16"/>
        </w:rPr>
        <w:t xml:space="preserve"> </w:t>
      </w:r>
    </w:p>
  </w:endnote>
  <w:endnote w:id="3">
    <w:p w14:paraId="331BACD5"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Public Health England. (2021). PHE Fingertips Musculoskeletal Conditions Profile. GP Patient Survey 2020 data. </w:t>
      </w:r>
      <w:hyperlink r:id="rId2" w:history="1">
        <w:r>
          <w:rPr>
            <w:rStyle w:val="Hyperlink"/>
            <w:rFonts w:cstheme="minorHAnsi"/>
            <w:sz w:val="16"/>
            <w:szCs w:val="16"/>
          </w:rPr>
          <w:t>https://fingertips.phe.org.uk/profile/msk/data</w:t>
        </w:r>
      </w:hyperlink>
      <w:r>
        <w:rPr>
          <w:rFonts w:cstheme="minorHAnsi"/>
          <w:sz w:val="16"/>
          <w:szCs w:val="16"/>
        </w:rPr>
        <w:t xml:space="preserve"> </w:t>
      </w:r>
    </w:p>
  </w:endnote>
  <w:endnote w:id="4">
    <w:p w14:paraId="47C242A4" w14:textId="77777777" w:rsidR="00F21187" w:rsidRDefault="00F21187" w:rsidP="00F21187">
      <w:pPr>
        <w:pStyle w:val="EndnoteText"/>
        <w:keepLines/>
        <w:rPr>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 xml:space="preserve">ScotCen Social Research. (2020). Scottish Health Survey 2019. Scottish Government. </w:t>
      </w:r>
      <w:hyperlink r:id="rId3" w:history="1">
        <w:r>
          <w:rPr>
            <w:rStyle w:val="Hyperlink"/>
            <w:sz w:val="16"/>
            <w:szCs w:val="16"/>
          </w:rPr>
          <w:t>https://www.gov.scot/collections/scottish-health-survey/</w:t>
        </w:r>
      </w:hyperlink>
      <w:r>
        <w:rPr>
          <w:sz w:val="16"/>
          <w:szCs w:val="16"/>
        </w:rPr>
        <w:t xml:space="preserve"> </w:t>
      </w:r>
    </w:p>
  </w:endnote>
  <w:endnote w:id="5">
    <w:p w14:paraId="02837090"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Welsh Government. (2020). National Survey Wales: April 2019 to March 2020. </w:t>
      </w:r>
      <w:hyperlink r:id="rId4" w:history="1">
        <w:r>
          <w:rPr>
            <w:rStyle w:val="Hyperlink"/>
            <w:rFonts w:cstheme="minorHAnsi"/>
            <w:sz w:val="16"/>
            <w:szCs w:val="16"/>
          </w:rPr>
          <w:t>https://gov.wales/national-survey-wales-april-2019-march-2020</w:t>
        </w:r>
      </w:hyperlink>
      <w:r>
        <w:rPr>
          <w:rFonts w:cstheme="minorHAnsi"/>
          <w:sz w:val="16"/>
          <w:szCs w:val="16"/>
        </w:rPr>
        <w:t xml:space="preserve"> </w:t>
      </w:r>
    </w:p>
  </w:endnote>
  <w:endnote w:id="6">
    <w:p w14:paraId="0781F5C5"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NHS Digital. (2019). Health Survey for England 2018: Longstanding Conditions. Health and Social Care Information Centre. </w:t>
      </w:r>
      <w:hyperlink r:id="rId5" w:history="1">
        <w:r>
          <w:rPr>
            <w:rStyle w:val="Hyperlink"/>
            <w:rFonts w:cstheme="minorHAnsi"/>
            <w:sz w:val="16"/>
            <w:szCs w:val="16"/>
          </w:rPr>
          <w:t>http://healthsurvey.hscic.gov.uk/support-guidance/public-health/health-survey-for-england-2018/longstanding-conditions.aspx</w:t>
        </w:r>
      </w:hyperlink>
      <w:r>
        <w:rPr>
          <w:rFonts w:cstheme="minorHAnsi"/>
          <w:sz w:val="16"/>
          <w:szCs w:val="16"/>
        </w:rPr>
        <w:t xml:space="preserve"> </w:t>
      </w:r>
    </w:p>
  </w:endnote>
  <w:endnote w:id="7">
    <w:p w14:paraId="1FBE358D"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Versus Arthritis. (2019). The Musculoskeletal Calculator (modelled prevalence estimates for rheumatoid arthritis). </w:t>
      </w:r>
      <w:hyperlink r:id="rId6" w:history="1">
        <w:r>
          <w:rPr>
            <w:rStyle w:val="Hyperlink"/>
            <w:rFonts w:cstheme="minorHAnsi"/>
            <w:sz w:val="16"/>
            <w:szCs w:val="16"/>
          </w:rPr>
          <w:t>https://www.versusarthritis.org/policy/resources-for-policy-makers/musculoskeletal-calculator/</w:t>
        </w:r>
      </w:hyperlink>
      <w:r>
        <w:rPr>
          <w:rFonts w:cstheme="minorHAnsi"/>
          <w:sz w:val="16"/>
          <w:szCs w:val="16"/>
        </w:rPr>
        <w:t xml:space="preserve"> </w:t>
      </w:r>
    </w:p>
  </w:endnote>
  <w:endnote w:id="8">
    <w:p w14:paraId="5F19286B"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Quality Outcomes Framework. (2019). QOF estimates for England, Wales, Northern Ireland. GP contract. </w:t>
      </w:r>
      <w:hyperlink r:id="rId7" w:history="1">
        <w:r>
          <w:rPr>
            <w:rStyle w:val="Hyperlink"/>
            <w:rFonts w:cstheme="minorHAnsi"/>
            <w:sz w:val="16"/>
            <w:szCs w:val="16"/>
          </w:rPr>
          <w:t>https://www.gpcontract.co.uk/browse/UK/19</w:t>
        </w:r>
      </w:hyperlink>
      <w:r>
        <w:rPr>
          <w:rFonts w:cstheme="minorHAnsi"/>
          <w:sz w:val="16"/>
          <w:szCs w:val="16"/>
        </w:rPr>
        <w:t xml:space="preserve"> </w:t>
      </w:r>
    </w:p>
  </w:endnote>
  <w:endnote w:id="9">
    <w:p w14:paraId="63308964"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Silman, AJ. &amp; Hochberg, MC. (2001). Epidemiology of the Rheumatic Diseases. 2nd Edition Oxford Medical Publications.</w:t>
      </w:r>
    </w:p>
  </w:endnote>
  <w:endnote w:id="10">
    <w:p w14:paraId="5813B4DE"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National Ankylosing Spondylitis Society. (2021). Facts &amp; Figures. </w:t>
      </w:r>
      <w:hyperlink r:id="rId8" w:history="1">
        <w:r>
          <w:rPr>
            <w:rStyle w:val="Hyperlink"/>
            <w:rFonts w:cstheme="minorHAnsi"/>
            <w:sz w:val="16"/>
            <w:szCs w:val="16"/>
          </w:rPr>
          <w:t>https://nass.co.uk/about-as/as-facts-and-figures/</w:t>
        </w:r>
      </w:hyperlink>
    </w:p>
  </w:endnote>
  <w:endnote w:id="11">
    <w:p w14:paraId="070E85F0"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Ogdie, A. et. al. Prevalence and treatment patterns of psoriatic arthritis in the UK. Rheumatology. 52(3),568-575.</w:t>
      </w:r>
      <w:r>
        <w:rPr>
          <w:sz w:val="16"/>
          <w:szCs w:val="16"/>
        </w:rPr>
        <w:t xml:space="preserve"> </w:t>
      </w:r>
      <w:hyperlink r:id="rId9" w:history="1">
        <w:r>
          <w:rPr>
            <w:rStyle w:val="Hyperlink"/>
            <w:rFonts w:cstheme="minorHAnsi"/>
            <w:sz w:val="16"/>
            <w:szCs w:val="16"/>
          </w:rPr>
          <w:t>https://doi.org/10.1093/rheumatology/kes324</w:t>
        </w:r>
      </w:hyperlink>
      <w:r>
        <w:rPr>
          <w:rFonts w:cstheme="minorHAnsi"/>
          <w:sz w:val="16"/>
          <w:szCs w:val="16"/>
        </w:rPr>
        <w:t xml:space="preserve"> </w:t>
      </w:r>
      <w:r>
        <w:rPr>
          <w:rFonts w:cstheme="minorHAnsi"/>
          <w:i/>
          <w:iCs/>
          <w:sz w:val="16"/>
          <w:szCs w:val="16"/>
        </w:rPr>
        <w:t>(0.19% applied to mid-2019 population estimate)</w:t>
      </w:r>
    </w:p>
  </w:endnote>
  <w:endnote w:id="12">
    <w:p w14:paraId="53350122"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Versus Arthritis. (2019). The Musculoskeletal Calculator (modelled prevalence estimates for hip and knee osteoarthritis). </w:t>
      </w:r>
      <w:hyperlink r:id="rId10" w:history="1">
        <w:r>
          <w:rPr>
            <w:rStyle w:val="Hyperlink"/>
            <w:rFonts w:cstheme="minorHAnsi"/>
            <w:sz w:val="16"/>
            <w:szCs w:val="16"/>
          </w:rPr>
          <w:t>https://www.versusarthritis.org/policy/resources-for-policy-makers/musculoskeletal-calculator/</w:t>
        </w:r>
      </w:hyperlink>
      <w:r>
        <w:rPr>
          <w:rFonts w:cstheme="minorHAnsi"/>
          <w:sz w:val="16"/>
          <w:szCs w:val="16"/>
        </w:rPr>
        <w:t xml:space="preserve"> </w:t>
      </w:r>
    </w:p>
  </w:endnote>
  <w:endnote w:id="13">
    <w:p w14:paraId="337950FD"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Versus Arthritis. (2019). The Musculoskeletal Calculator (modelled prevalence estimates for back pain). </w:t>
      </w:r>
      <w:hyperlink r:id="rId11" w:history="1">
        <w:r>
          <w:rPr>
            <w:rStyle w:val="Hyperlink"/>
            <w:rFonts w:cstheme="minorHAnsi"/>
            <w:sz w:val="16"/>
            <w:szCs w:val="16"/>
          </w:rPr>
          <w:t>https://www.versusarthritis.org/policy/resources-for-policy-makers/musculoskeletal-calculator/</w:t>
        </w:r>
      </w:hyperlink>
      <w:r>
        <w:rPr>
          <w:rFonts w:cstheme="minorHAnsi"/>
          <w:sz w:val="16"/>
          <w:szCs w:val="16"/>
        </w:rPr>
        <w:t xml:space="preserve"> </w:t>
      </w:r>
    </w:p>
  </w:endnote>
  <w:endnote w:id="14">
    <w:p w14:paraId="5024D95E"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Jones, G., Atzeni, F., Beasley, M., </w:t>
      </w:r>
      <w:r>
        <w:rPr>
          <w:rFonts w:cstheme="minorHAnsi"/>
          <w:sz w:val="16"/>
          <w:szCs w:val="16"/>
        </w:rPr>
        <w:t>Flüß, E.P. &amp; Macfarlane, G. (2015). The prevalence of fibromyalgia in the general population: a comparison of the American College of Rheumatology 1990, 2010, and modified 2010 classification criteria. Arthritis &amp; Rheumatology. 67 (2), 568-75. doi: 10.1002/art.38905</w:t>
      </w:r>
    </w:p>
  </w:endnote>
  <w:endnote w:id="15">
    <w:p w14:paraId="30B3D4B9"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Svedbom, A. et al. (2013). Osteoporosis in the European Union: a compendium of country–specific reports. Archives of Osteoporosis. 8(1):137. doi: 10.1007/s11657-013-0137-0</w:t>
      </w:r>
    </w:p>
  </w:endnote>
  <w:endnote w:id="16">
    <w:p w14:paraId="7DF4946C"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National Institute for Clinical Excellence. (2018). NICE impact falls and fragility fractures. Online. Accessed 17.08.2021. </w:t>
      </w:r>
      <w:hyperlink r:id="rId12" w:history="1">
        <w:r>
          <w:rPr>
            <w:rStyle w:val="Hyperlink"/>
            <w:rFonts w:cstheme="minorHAnsi"/>
            <w:sz w:val="16"/>
            <w:szCs w:val="16"/>
          </w:rPr>
          <w:t>https://www.nice.org.uk/media/default/about/what-we-do/into-practice/measuring-uptake/nice-impact-falls-and-fragility-fractures.pdf</w:t>
        </w:r>
      </w:hyperlink>
      <w:r>
        <w:rPr>
          <w:rFonts w:cstheme="minorHAnsi"/>
          <w:sz w:val="16"/>
          <w:szCs w:val="16"/>
        </w:rPr>
        <w:t xml:space="preserve"> </w:t>
      </w:r>
    </w:p>
  </w:endnote>
  <w:endnote w:id="17">
    <w:p w14:paraId="2AEEDD8F"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Versus Arthritis. (2021). Chronic pain in England: Unseen, unequal, unfair. </w:t>
      </w:r>
      <w:hyperlink r:id="rId13" w:history="1">
        <w:r>
          <w:rPr>
            <w:rStyle w:val="Hyperlink"/>
            <w:rFonts w:cstheme="minorHAnsi"/>
            <w:sz w:val="16"/>
            <w:szCs w:val="16"/>
          </w:rPr>
          <w:t>https://www.versusarthritis.org/about-arthritis/data-and-statistics/chronic-pain-in-england/</w:t>
        </w:r>
      </w:hyperlink>
      <w:r>
        <w:rPr>
          <w:rFonts w:cstheme="minorHAnsi"/>
          <w:sz w:val="16"/>
          <w:szCs w:val="16"/>
        </w:rPr>
        <w:tab/>
      </w:r>
    </w:p>
  </w:endnote>
  <w:endnote w:id="18">
    <w:p w14:paraId="28B68733"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 xml:space="preserve">Fayaz, A. et al. (2016). Prevalence of chronic pain in the UK: a systematic review and meta-analysis of population studies. BMJ Open doi: 10.1136/bmjopen-2015-010364 </w:t>
      </w:r>
    </w:p>
  </w:endnote>
  <w:endnote w:id="19">
    <w:p w14:paraId="7D6D779B"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Hurley, M. et al. (2018). Exercise interventions and patient beliefs for people with hip, knee or hip and knee osteoarthritis: a mixed methods review. Cochrane Database of Systematic Reviews. 4(4):CD010842. </w:t>
      </w:r>
      <w:r>
        <w:rPr>
          <w:rFonts w:cstheme="minorHAnsi"/>
          <w:sz w:val="16"/>
          <w:szCs w:val="16"/>
        </w:rPr>
        <w:t>doi: 10.1002/14651858.CD010842.pub2.</w:t>
      </w:r>
    </w:p>
  </w:endnote>
  <w:endnote w:id="20">
    <w:p w14:paraId="6B926B78"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Choi, B., Verbeek, J., Tam, W. and Jiang, J. (2010). Exercises for prevention of recurrences of low-back pain. The Cochrane Database for Systematic Reviews. </w:t>
      </w:r>
      <w:r>
        <w:rPr>
          <w:rFonts w:cstheme="minorHAnsi"/>
          <w:sz w:val="16"/>
          <w:szCs w:val="16"/>
        </w:rPr>
        <w:t xml:space="preserve">doi: 10.1002/14651858.CD006555.pub2. </w:t>
      </w:r>
    </w:p>
  </w:endnote>
  <w:endnote w:id="21">
    <w:p w14:paraId="6B31C5AA"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Department of Health, Physical Activity, Health Improvement and Protection. (2011). Start Active, Stay Active: A report on physical activity from the four home countries’ Chief Medical Officers, Department of Health, London.</w:t>
      </w:r>
    </w:p>
  </w:endnote>
  <w:endnote w:id="22">
    <w:p w14:paraId="6F78FA53"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NG England. (2012). Let’s Get Moving Commissioning Guidance: A physical activity care pathway. Online. Accessed </w:t>
      </w:r>
    </w:p>
    <w:p w14:paraId="0F282DD4" w14:textId="719D5D73" w:rsidR="00F21187" w:rsidRDefault="00F21187" w:rsidP="00F21187">
      <w:pPr>
        <w:pStyle w:val="EndnoteText"/>
        <w:keepLines/>
        <w:rPr>
          <w:rFonts w:cstheme="minorHAnsi"/>
          <w:sz w:val="16"/>
          <w:szCs w:val="16"/>
        </w:rPr>
      </w:pPr>
      <w:r>
        <w:rPr>
          <w:rFonts w:cstheme="minorHAnsi"/>
          <w:sz w:val="16"/>
          <w:szCs w:val="16"/>
        </w:rPr>
        <w:t xml:space="preserve">15.02.2022  </w:t>
      </w:r>
      <w:hyperlink r:id="rId14" w:history="1">
        <w:r w:rsidRPr="009F473B">
          <w:rPr>
            <w:rStyle w:val="Hyperlink"/>
            <w:rFonts w:cstheme="minorHAnsi"/>
            <w:sz w:val="16"/>
            <w:szCs w:val="16"/>
          </w:rPr>
          <w:t>https://assets.publishing.service.gov.uk/government/uploads/system/uploads/attachment_data/file/216262/dh_133101.pdf</w:t>
        </w:r>
      </w:hyperlink>
      <w:r>
        <w:rPr>
          <w:rFonts w:cstheme="minorHAnsi"/>
          <w:sz w:val="16"/>
          <w:szCs w:val="16"/>
        </w:rPr>
        <w:t xml:space="preserve"> </w:t>
      </w:r>
    </w:p>
  </w:endnote>
  <w:endnote w:id="23">
    <w:p w14:paraId="1372D23E" w14:textId="351BBA78"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Foster, C., Armstrong, M., </w:t>
      </w:r>
      <w:r>
        <w:rPr>
          <w:rFonts w:cstheme="minorHAnsi"/>
          <w:sz w:val="16"/>
          <w:szCs w:val="16"/>
        </w:rPr>
        <w:t xml:space="preserve">Hillsdon, M., Skelton, D., Mavroeidi, A., Cavill, N. and Milton, K. (2017). Muscle and bone strengthening and balance activities for general health benefits in adults and older adults: Summary of a rapid evidence review for the UK Chief Medical Officers’ update of the physical activity guidelines. Public Health England. </w:t>
      </w:r>
    </w:p>
    <w:p w14:paraId="03CD5CB9" w14:textId="6E94578D" w:rsidR="00F21187" w:rsidRDefault="00640A46" w:rsidP="00F21187">
      <w:pPr>
        <w:pStyle w:val="EndnoteText"/>
        <w:keepLines/>
        <w:rPr>
          <w:rFonts w:cstheme="minorHAnsi"/>
          <w:sz w:val="16"/>
          <w:szCs w:val="16"/>
        </w:rPr>
      </w:pPr>
      <w:hyperlink r:id="rId15" w:history="1">
        <w:r w:rsidR="00F21187" w:rsidRPr="009F473B">
          <w:rPr>
            <w:rStyle w:val="Hyperlink"/>
            <w:rFonts w:cstheme="minorHAnsi"/>
            <w:sz w:val="16"/>
            <w:szCs w:val="16"/>
          </w:rPr>
          <w:t>https://assets.publishing.service.gov.uk/government/uploads/system/uploads/attachment_data/file/721874/MBSBA_evidence_review.pdf</w:t>
        </w:r>
      </w:hyperlink>
      <w:r w:rsidR="00F21187">
        <w:rPr>
          <w:rFonts w:cstheme="minorHAnsi"/>
          <w:sz w:val="16"/>
          <w:szCs w:val="16"/>
        </w:rPr>
        <w:t xml:space="preserve"> </w:t>
      </w:r>
    </w:p>
  </w:endnote>
  <w:endnote w:id="24">
    <w:p w14:paraId="36F85F27" w14:textId="77777777" w:rsidR="00F21187" w:rsidRDefault="00F21187" w:rsidP="00F21187">
      <w:pPr>
        <w:pStyle w:val="EndnoteText"/>
        <w:rPr>
          <w:sz w:val="16"/>
          <w:szCs w:val="16"/>
        </w:rPr>
      </w:pPr>
      <w:r>
        <w:rPr>
          <w:rStyle w:val="EndnoteReference"/>
          <w:sz w:val="16"/>
          <w:szCs w:val="16"/>
        </w:rPr>
        <w:endnoteRef/>
      </w:r>
      <w:r>
        <w:rPr>
          <w:sz w:val="16"/>
          <w:szCs w:val="16"/>
        </w:rPr>
        <w:t xml:space="preserve"> Sharif, K., </w:t>
      </w:r>
      <w:r>
        <w:rPr>
          <w:sz w:val="16"/>
          <w:szCs w:val="16"/>
        </w:rPr>
        <w:t>Watad, A., Bragazzi, NL., Lichtbroun, M., Amital, H., and Shoenfeld, Y. (2018). Physical activity and autoimmune diseases: Get moving and manage the disease. Autoimmunity Reviews. 17(1), 53-72. https://doi.org/10.1016/j.autrev.2017.11.010</w:t>
      </w:r>
    </w:p>
  </w:endnote>
  <w:endnote w:id="25">
    <w:p w14:paraId="716731B5"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Versus Arthritis (2020). Unmet Needs Research – Survey data (Unpublished)</w:t>
      </w:r>
    </w:p>
  </w:endnote>
  <w:endnote w:id="26">
    <w:p w14:paraId="1EEAE517"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Versus Arthritis (2019). Musculoskeletal conditions and physical activity - Scoping Research (Unpublished)</w:t>
      </w:r>
    </w:p>
  </w:endnote>
  <w:endnote w:id="27">
    <w:p w14:paraId="34637268"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Northern Ireland Department of Health. (2020).  Health survey Northern Ireland: first results 2019/20. Accessed 17.08.2021. </w:t>
      </w:r>
      <w:hyperlink r:id="rId16" w:history="1">
        <w:r>
          <w:rPr>
            <w:rStyle w:val="Hyperlink"/>
            <w:rFonts w:cstheme="minorHAnsi"/>
            <w:sz w:val="16"/>
            <w:szCs w:val="16"/>
          </w:rPr>
          <w:t>https://www.health-ni.gov.uk/publications/health-survey-northern-ireland-first-results-201920</w:t>
        </w:r>
      </w:hyperlink>
      <w:r>
        <w:rPr>
          <w:rFonts w:cstheme="minorHAnsi"/>
          <w:sz w:val="16"/>
          <w:szCs w:val="16"/>
        </w:rPr>
        <w:t xml:space="preserve"> </w:t>
      </w:r>
    </w:p>
  </w:endnote>
  <w:endnote w:id="28">
    <w:p w14:paraId="6628CB75"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Felson, D. et al. (2000). Osteoarthritis: new insights. Part 1: the disease and its risk factors. Annals of Internal Medicine. 133(8), 635-646. </w:t>
      </w:r>
      <w:r>
        <w:rPr>
          <w:rFonts w:cstheme="minorHAnsi"/>
          <w:sz w:val="16"/>
          <w:szCs w:val="16"/>
        </w:rPr>
        <w:t>doi: 10.7326/0003-4819-133-8-200010170-00016.</w:t>
      </w:r>
    </w:p>
  </w:endnote>
  <w:endnote w:id="29">
    <w:p w14:paraId="461232E0"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Deere, K. et al. (2012). Obesity is a risk factor for musculoskeletal pain in adolescents: findings from a population-based cohort. Pain. 153(9), 1932-1938. Obesity is a risk factor for musculoskeletal pain in adolescents: findings from a population-based cohort </w:t>
      </w:r>
    </w:p>
  </w:endnote>
  <w:endnote w:id="30">
    <w:p w14:paraId="4336A061"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National Joint Registry (2020). NJR 17th Annual Report 2020-Surgical data to 31 December 2019. National Joint Registry for England, Wales, Northern Ireland, and the Isle of Man. </w:t>
      </w:r>
      <w:hyperlink r:id="rId17" w:history="1">
        <w:r>
          <w:rPr>
            <w:rStyle w:val="Hyperlink"/>
            <w:rFonts w:cstheme="minorHAnsi"/>
            <w:sz w:val="16"/>
            <w:szCs w:val="16"/>
          </w:rPr>
          <w:t>https://reports.njrcentre.org.uk/</w:t>
        </w:r>
      </w:hyperlink>
      <w:r>
        <w:rPr>
          <w:rFonts w:cstheme="minorHAnsi"/>
          <w:sz w:val="16"/>
          <w:szCs w:val="16"/>
        </w:rPr>
        <w:t xml:space="preserve"> </w:t>
      </w:r>
    </w:p>
  </w:endnote>
  <w:endnote w:id="31">
    <w:p w14:paraId="21B37D63"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Blagojevic, M., Jinks, C., Jeffery, A. and Jordan, K. (2010). Risk factors for onset of osteoarthritis of the knee in older adults: a systematic review and meta-analysis. Osteoarthritis and Cartilage. 18(1),24-33. doi: 10.1016/j.joca.2009.08.010.</w:t>
      </w:r>
    </w:p>
  </w:endnote>
  <w:endnote w:id="32">
    <w:p w14:paraId="7DDDF1C3"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Anderson, J. and Felson, D. (1998). Factors associated with osteoarthritis of the knee in the first national Health and Nutrition Examination Survey (HANES I). Evidence for an association with overweight, race, and physical demands of work. American Journal of Epidemiology, vol. 128, no. 1, pp. 179-189.</w:t>
      </w:r>
    </w:p>
  </w:endnote>
  <w:endnote w:id="33">
    <w:p w14:paraId="4690CBE3"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D. Felson, J. Anderson, A. Naimark, A. Walker and R. </w:t>
      </w:r>
      <w:r>
        <w:rPr>
          <w:rFonts w:cstheme="minorHAnsi"/>
          <w:sz w:val="16"/>
          <w:szCs w:val="16"/>
        </w:rPr>
        <w:t>Meenan (1998). Obesity and knee osteoarthritis. The Framingham Study. Annals of Internal Medicine. 109(1), 18-24. DOI: 10.1093/oxfordjournals.aje.a114939</w:t>
      </w:r>
    </w:p>
  </w:endnote>
  <w:endnote w:id="34">
    <w:p w14:paraId="3BEA9BA8"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Lohmander, L., Gerhardsson, de Verdier, M., Rollof, J., Nilsson, P. &amp; Engström, G. (2009). Incidence of severe knee and hip osteoarthritis in relation to different measures of body mass: a population-based prospective cohort study. Annals of the Rheumatic Diseases. 68(4), 490-496vol. 68. DOI: 10.1136/ard.2008.089748</w:t>
      </w:r>
    </w:p>
  </w:endnote>
  <w:endnote w:id="35">
    <w:p w14:paraId="32624DDB"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Heuch, I., Hagen, K. &amp; Zwart, J. (2013). Body mass index as a risk factor for developing chronic low back pain: a follow-up in the Nord-Trøndelag Health Study. Spine. 38(2), 133-139. DOI: 10.1097/BRS.0b013e3182647af2</w:t>
      </w:r>
    </w:p>
  </w:endnote>
  <w:endnote w:id="36">
    <w:p w14:paraId="00518B87"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Smuck, M., Kao, M., Brar, N., Martinez-Ith, A., Choi, J. &amp; Tomkins-Lane, C. (2014). Does physical activity influence the relationship between low back pain and obesity? The Spine Journal. 14(2), 209-216.</w:t>
      </w:r>
      <w:r>
        <w:rPr>
          <w:sz w:val="16"/>
          <w:szCs w:val="16"/>
        </w:rPr>
        <w:t xml:space="preserve"> </w:t>
      </w:r>
      <w:r>
        <w:rPr>
          <w:rFonts w:cstheme="minorHAnsi"/>
          <w:sz w:val="16"/>
          <w:szCs w:val="16"/>
        </w:rPr>
        <w:t>DOI: 10.1016/j.spinee.2013.11.010</w:t>
      </w:r>
    </w:p>
  </w:endnote>
  <w:endnote w:id="37">
    <w:p w14:paraId="536259A9"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M. McAdams DeMarco et al. (2011). Younger age at gout onset is related to obesity in a community-based cohort. Arthritis Care &amp; Research. 63(8), 1108-1114.</w:t>
      </w:r>
      <w:r>
        <w:rPr>
          <w:sz w:val="16"/>
          <w:szCs w:val="16"/>
        </w:rPr>
        <w:t xml:space="preserve"> </w:t>
      </w:r>
      <w:r>
        <w:rPr>
          <w:rFonts w:cstheme="minorHAnsi"/>
          <w:sz w:val="16"/>
          <w:szCs w:val="16"/>
        </w:rPr>
        <w:t>DOI: 10.1002/acr.20479</w:t>
      </w:r>
    </w:p>
  </w:endnote>
  <w:endnote w:id="38">
    <w:p w14:paraId="7F169B42" w14:textId="77777777" w:rsidR="00F21187" w:rsidRDefault="00F21187" w:rsidP="00F21187">
      <w:pPr>
        <w:pStyle w:val="EndnoteText"/>
        <w:keepLines/>
        <w:rPr>
          <w:rFonts w:cstheme="minorHAnsi"/>
          <w:sz w:val="16"/>
          <w:szCs w:val="16"/>
        </w:rPr>
      </w:pPr>
      <w:r>
        <w:rPr>
          <w:rStyle w:val="EndnoteReference"/>
          <w:rFonts w:cstheme="minorHAnsi"/>
          <w:sz w:val="16"/>
          <w:szCs w:val="16"/>
        </w:rPr>
        <w:endnoteRef/>
      </w:r>
      <w:r>
        <w:rPr>
          <w:rFonts w:cstheme="minorHAnsi"/>
          <w:sz w:val="16"/>
          <w:szCs w:val="16"/>
        </w:rPr>
        <w:t xml:space="preserve"> Feng, J. et al. (2016). Body Mass Index and Risk of Rheumatoid Arthritis: A Meta-Analysis of Observational Studies. Medicine. 95(8). DOI: 10.1097/MD.0000000000002859</w:t>
      </w:r>
    </w:p>
  </w:endnote>
  <w:endnote w:id="39">
    <w:p w14:paraId="214F2CAA" w14:textId="77777777" w:rsidR="00F21187" w:rsidRDefault="00F21187" w:rsidP="00F21187">
      <w:pPr>
        <w:pStyle w:val="EndnoteText"/>
        <w:rPr>
          <w:rFonts w:cstheme="minorHAnsi"/>
          <w:sz w:val="16"/>
          <w:szCs w:val="16"/>
          <w:highlight w:val="yellow"/>
        </w:rPr>
      </w:pPr>
      <w:r>
        <w:rPr>
          <w:rStyle w:val="EndnoteReference"/>
          <w:rFonts w:cstheme="minorHAnsi"/>
          <w:sz w:val="16"/>
          <w:szCs w:val="16"/>
        </w:rPr>
        <w:endnoteRef/>
      </w:r>
      <w:r>
        <w:rPr>
          <w:rFonts w:cstheme="minorHAnsi"/>
          <w:sz w:val="16"/>
          <w:szCs w:val="16"/>
        </w:rPr>
        <w:t xml:space="preserve"> Barnett, K., Mercer, S., Norbury, M., Watt, G., Wyke, S. and Guthrie, B. (2012). Epidemiology of multimorbidity and implications for health care, research, and medical education: a cross-sectional study. The Lancet. 380(9836), 37-43. </w:t>
      </w:r>
      <w:r>
        <w:rPr>
          <w:rFonts w:cstheme="minorHAnsi"/>
          <w:sz w:val="16"/>
          <w:szCs w:val="16"/>
        </w:rPr>
        <w:t>DOI:https://doi.org/10.1016/S0140-6736(12)60240-2</w:t>
      </w:r>
    </w:p>
  </w:endnote>
  <w:endnote w:id="40">
    <w:p w14:paraId="757128A2"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Cassell, A., Edwards, D., </w:t>
      </w:r>
      <w:r>
        <w:rPr>
          <w:rFonts w:cstheme="minorHAnsi"/>
          <w:sz w:val="16"/>
          <w:szCs w:val="16"/>
        </w:rPr>
        <w:t>Harshfield, A., Rhodes, K., Brimicombe, J., Payne, R. and Griffin, S. (2018). The epidemiology of multimorbidity in primary care: a retrospective cohort study. Br J Gen Pract, vol. 68, no. 669.</w:t>
      </w:r>
      <w:r>
        <w:rPr>
          <w:sz w:val="16"/>
          <w:szCs w:val="16"/>
        </w:rPr>
        <w:t xml:space="preserve"> </w:t>
      </w:r>
      <w:r>
        <w:rPr>
          <w:rFonts w:cstheme="minorHAnsi"/>
          <w:sz w:val="16"/>
          <w:szCs w:val="16"/>
        </w:rPr>
        <w:t>DOI: https://doi.org/10.3399/bjgp18X695465</w:t>
      </w:r>
    </w:p>
  </w:endnote>
  <w:endnote w:id="41">
    <w:p w14:paraId="1130B582"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Gondek, D., Bann, D., Brown, M. et al. (2021). Prevalence and early-life determinants of mid-life multimorbidity: evidence from the 1970 British birth cohort. BMC Public Health. (21) 1319. https://doi.org/10.1186/s12889-021-11291-w</w:t>
      </w:r>
    </w:p>
  </w:endnote>
  <w:endnote w:id="42">
    <w:p w14:paraId="14AFEA03"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Public Health England (2021). PHE Fingertips Musculoskeletal Conditions Profile. GP Patient Survey 2020 data. Accessed August 2021. Available at </w:t>
      </w:r>
      <w:hyperlink r:id="rId18" w:anchor="page/3/gid/1938133186/pat/6/par/E12000001/ati/302/are/E06000047/iid/93453/age/164/sex/4/cat/-1/ctp/-1/cid/4/tbm/1" w:history="1">
        <w:r>
          <w:rPr>
            <w:rStyle w:val="Hyperlink"/>
            <w:rFonts w:cstheme="minorHAnsi"/>
            <w:sz w:val="16"/>
            <w:szCs w:val="16"/>
          </w:rPr>
          <w:t>link</w:t>
        </w:r>
      </w:hyperlink>
    </w:p>
  </w:endnote>
  <w:endnote w:id="43">
    <w:p w14:paraId="3BB127E4"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Versus Arthritis [formerly Arthritis Research UK]. (2017). Musculoskeletal conditions and multimorbidity.</w:t>
      </w:r>
    </w:p>
  </w:endnote>
  <w:endnote w:id="44">
    <w:p w14:paraId="16543584" w14:textId="1DA48205"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w:t>
      </w:r>
      <w:r w:rsidRPr="00F21187">
        <w:rPr>
          <w:rFonts w:cstheme="minorHAnsi"/>
          <w:sz w:val="16"/>
          <w:szCs w:val="16"/>
        </w:rPr>
        <w:t xml:space="preserve">Swain, S., </w:t>
      </w:r>
      <w:r w:rsidRPr="00F21187">
        <w:rPr>
          <w:rFonts w:cstheme="minorHAnsi"/>
          <w:sz w:val="16"/>
          <w:szCs w:val="16"/>
        </w:rPr>
        <w:t>Sarmanova, A., Coupland, C., Doherty, M., Zhang, W. (2019) Comorbidities in Osteoarthritis: A Systematic</w:t>
      </w:r>
      <w:r>
        <w:rPr>
          <w:rFonts w:cstheme="minorHAnsi"/>
          <w:sz w:val="16"/>
          <w:szCs w:val="16"/>
        </w:rPr>
        <w:t xml:space="preserve"> </w:t>
      </w:r>
      <w:r w:rsidRPr="00F21187">
        <w:rPr>
          <w:rFonts w:cstheme="minorHAnsi"/>
          <w:sz w:val="16"/>
          <w:szCs w:val="16"/>
        </w:rPr>
        <w:t xml:space="preserve">Review and Meta-Analysis of Observational Studies. Arthritis Care &amp; Research. 72 (7), 991-1000. </w:t>
      </w:r>
      <w:hyperlink r:id="rId19" w:history="1">
        <w:r w:rsidRPr="00F21187">
          <w:rPr>
            <w:rFonts w:cstheme="minorHAnsi"/>
            <w:sz w:val="16"/>
            <w:szCs w:val="16"/>
          </w:rPr>
          <w:t>https://onlinelibrary.wiley.com/doi/10.1002/acr.24008</w:t>
        </w:r>
      </w:hyperlink>
      <w:r>
        <w:rPr>
          <w:rFonts w:cstheme="minorHAnsi"/>
          <w:sz w:val="16"/>
          <w:szCs w:val="16"/>
        </w:rPr>
        <w:t xml:space="preserve"> </w:t>
      </w:r>
      <w:r w:rsidRPr="00F21187">
        <w:rPr>
          <w:rFonts w:cstheme="minorHAnsi"/>
          <w:sz w:val="16"/>
          <w:szCs w:val="16"/>
        </w:rPr>
        <w:t>. Epub 2019 Jun 17.</w:t>
      </w:r>
    </w:p>
  </w:endnote>
  <w:endnote w:id="45">
    <w:p w14:paraId="3795BAB5"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w:t>
      </w:r>
      <w:r>
        <w:rPr>
          <w:rFonts w:cstheme="minorHAnsi"/>
          <w:sz w:val="16"/>
          <w:szCs w:val="16"/>
        </w:rPr>
        <w:t>Lepine, J., and Briley, M. (2004). The epidemiology of pain in depression. Human Psychopharmacology. 10(1), S3-S7.</w:t>
      </w:r>
      <w:r>
        <w:rPr>
          <w:sz w:val="16"/>
          <w:szCs w:val="16"/>
        </w:rPr>
        <w:t xml:space="preserve"> </w:t>
      </w:r>
      <w:r>
        <w:rPr>
          <w:rFonts w:cstheme="minorHAnsi"/>
          <w:sz w:val="16"/>
          <w:szCs w:val="16"/>
        </w:rPr>
        <w:t>DOI: 10.1002/hup.618</w:t>
      </w:r>
    </w:p>
  </w:endnote>
  <w:endnote w:id="46">
    <w:p w14:paraId="06287C9C"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Department for Work and Pensions &amp; Department of Health (2016). Work, Health and Disability Green Paper Data Pack.</w:t>
      </w:r>
    </w:p>
  </w:endnote>
  <w:endnote w:id="47">
    <w:p w14:paraId="5A4131C1"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Office for National Statistics (2021). Annual Population Survey-people with long-term health conditions, UK: January to December 2019. Accessed 20.08.2021. </w:t>
      </w:r>
      <w:hyperlink r:id="rId20" w:history="1">
        <w:r>
          <w:rPr>
            <w:rStyle w:val="Hyperlink"/>
            <w:rFonts w:cstheme="minorHAnsi"/>
            <w:sz w:val="16"/>
            <w:szCs w:val="16"/>
          </w:rPr>
          <w:t>https://www.ons.gov.uk/peoplepopulationandcommunity/healthandsocialcare/conditionsanddiseases/adhocs/11478peoplewithlongtermhealthconditionsukjanuarytodecember2019</w:t>
        </w:r>
      </w:hyperlink>
      <w:r>
        <w:rPr>
          <w:rFonts w:cstheme="minorHAnsi"/>
          <w:sz w:val="16"/>
          <w:szCs w:val="16"/>
        </w:rPr>
        <w:t xml:space="preserve"> </w:t>
      </w:r>
    </w:p>
    <w:p w14:paraId="121EA517" w14:textId="77777777" w:rsidR="00F21187" w:rsidRDefault="00F21187" w:rsidP="00F21187">
      <w:pPr>
        <w:pStyle w:val="EndnoteText"/>
        <w:rPr>
          <w:rFonts w:cstheme="minorHAnsi"/>
          <w:sz w:val="16"/>
          <w:szCs w:val="16"/>
        </w:rPr>
      </w:pPr>
    </w:p>
    <w:p w14:paraId="3CB00D04" w14:textId="77777777" w:rsidR="00F21187" w:rsidRDefault="00F21187" w:rsidP="00F21187">
      <w:pPr>
        <w:pStyle w:val="EndnoteText"/>
        <w:rPr>
          <w:rFonts w:cstheme="minorHAnsi"/>
          <w:sz w:val="16"/>
          <w:szCs w:val="16"/>
        </w:rPr>
      </w:pPr>
    </w:p>
    <w:p w14:paraId="48F02BFE" w14:textId="77777777" w:rsidR="00F21187" w:rsidRDefault="00F21187" w:rsidP="00F21187">
      <w:pPr>
        <w:pStyle w:val="EndnoteText"/>
        <w:rPr>
          <w:rFonts w:cstheme="minorHAnsi"/>
          <w:sz w:val="16"/>
          <w:szCs w:val="16"/>
        </w:rPr>
      </w:pPr>
    </w:p>
    <w:p w14:paraId="40D48B6F" w14:textId="77777777" w:rsidR="00F21187" w:rsidRDefault="00F21187" w:rsidP="00F21187">
      <w:pPr>
        <w:pStyle w:val="EndnoteText"/>
        <w:rPr>
          <w:rFonts w:cstheme="minorHAnsi"/>
          <w:sz w:val="16"/>
          <w:szCs w:val="16"/>
        </w:rPr>
      </w:pPr>
    </w:p>
    <w:p w14:paraId="34F60B33" w14:textId="77777777" w:rsidR="00F21187" w:rsidRDefault="00F21187" w:rsidP="00F21187">
      <w:pPr>
        <w:pStyle w:val="EndnoteText"/>
        <w:rPr>
          <w:rFonts w:cstheme="minorHAnsi"/>
          <w:sz w:val="16"/>
          <w:szCs w:val="16"/>
        </w:rPr>
      </w:pPr>
    </w:p>
    <w:p w14:paraId="5E187041" w14:textId="77777777" w:rsidR="00F21187" w:rsidRDefault="00F21187" w:rsidP="00F21187">
      <w:pPr>
        <w:pStyle w:val="EndnoteText"/>
        <w:rPr>
          <w:rFonts w:cstheme="minorHAnsi"/>
          <w:sz w:val="16"/>
          <w:szCs w:val="16"/>
        </w:rPr>
      </w:pPr>
    </w:p>
    <w:p w14:paraId="6A974773" w14:textId="77777777" w:rsidR="00F21187" w:rsidRDefault="00F21187" w:rsidP="00F21187">
      <w:pPr>
        <w:pStyle w:val="EndnoteText"/>
        <w:rPr>
          <w:rFonts w:cstheme="minorHAnsi"/>
          <w:sz w:val="16"/>
          <w:szCs w:val="16"/>
        </w:rPr>
      </w:pPr>
    </w:p>
    <w:p w14:paraId="489CFED0" w14:textId="77777777" w:rsidR="00F21187" w:rsidRDefault="00F21187" w:rsidP="00F21187">
      <w:pPr>
        <w:pStyle w:val="EndnoteText"/>
        <w:rPr>
          <w:rFonts w:cstheme="minorHAnsi"/>
          <w:sz w:val="16"/>
          <w:szCs w:val="16"/>
        </w:rPr>
      </w:pPr>
    </w:p>
    <w:p w14:paraId="49E84AF4" w14:textId="77777777" w:rsidR="00F21187" w:rsidRDefault="00F21187" w:rsidP="00F21187">
      <w:pPr>
        <w:pStyle w:val="EndnoteText"/>
        <w:rPr>
          <w:rFonts w:cstheme="minorHAnsi"/>
          <w:sz w:val="16"/>
          <w:szCs w:val="16"/>
        </w:rPr>
      </w:pPr>
    </w:p>
    <w:p w14:paraId="6F9040DD" w14:textId="77777777" w:rsidR="00F21187" w:rsidRDefault="00F21187" w:rsidP="00F21187">
      <w:pPr>
        <w:pStyle w:val="EndnoteText"/>
        <w:rPr>
          <w:rFonts w:cstheme="minorHAnsi"/>
          <w:sz w:val="16"/>
          <w:szCs w:val="16"/>
        </w:rPr>
      </w:pPr>
    </w:p>
    <w:p w14:paraId="0C155068" w14:textId="77777777" w:rsidR="00F21187" w:rsidRDefault="00F21187" w:rsidP="00F21187">
      <w:pPr>
        <w:pStyle w:val="EndnoteText"/>
        <w:rPr>
          <w:rFonts w:cstheme="minorHAnsi"/>
          <w:sz w:val="16"/>
          <w:szCs w:val="16"/>
        </w:rPr>
      </w:pPr>
    </w:p>
    <w:p w14:paraId="28BA4B79" w14:textId="77777777" w:rsidR="00F21187" w:rsidRDefault="00F21187" w:rsidP="00F21187">
      <w:pPr>
        <w:pStyle w:val="EndnoteText"/>
        <w:rPr>
          <w:rFonts w:cstheme="minorHAnsi"/>
          <w:sz w:val="16"/>
          <w:szCs w:val="16"/>
        </w:rPr>
      </w:pPr>
    </w:p>
    <w:p w14:paraId="0DEE2273" w14:textId="77777777" w:rsidR="00F21187" w:rsidRDefault="00F21187" w:rsidP="00F21187">
      <w:pPr>
        <w:pStyle w:val="EndnoteText"/>
        <w:rPr>
          <w:rFonts w:cstheme="minorHAnsi"/>
          <w:sz w:val="16"/>
          <w:szCs w:val="16"/>
        </w:rPr>
      </w:pPr>
    </w:p>
    <w:p w14:paraId="03AC3FD1" w14:textId="77777777" w:rsidR="00F21187" w:rsidRDefault="00F21187" w:rsidP="00F21187">
      <w:pPr>
        <w:pStyle w:val="EndnoteText"/>
        <w:rPr>
          <w:rFonts w:cstheme="minorHAnsi"/>
          <w:sz w:val="16"/>
          <w:szCs w:val="16"/>
        </w:rPr>
      </w:pPr>
    </w:p>
    <w:p w14:paraId="0218E496" w14:textId="77777777" w:rsidR="00F21187" w:rsidRDefault="00F21187" w:rsidP="00F21187">
      <w:pPr>
        <w:pStyle w:val="EndnoteText"/>
        <w:rPr>
          <w:rFonts w:cstheme="minorHAnsi"/>
          <w:sz w:val="16"/>
          <w:szCs w:val="16"/>
        </w:rPr>
      </w:pPr>
    </w:p>
    <w:p w14:paraId="1005EFB0" w14:textId="77777777" w:rsidR="00F21187" w:rsidRDefault="00F21187" w:rsidP="00F21187">
      <w:pPr>
        <w:pStyle w:val="EndnoteText"/>
        <w:rPr>
          <w:rFonts w:cstheme="minorHAnsi"/>
          <w:sz w:val="16"/>
          <w:szCs w:val="16"/>
        </w:rPr>
      </w:pPr>
    </w:p>
    <w:p w14:paraId="4EC8F853" w14:textId="77777777" w:rsidR="00F21187" w:rsidRDefault="00F21187" w:rsidP="00F21187">
      <w:pPr>
        <w:pStyle w:val="EndnoteText"/>
        <w:rPr>
          <w:rFonts w:cstheme="minorHAnsi"/>
          <w:sz w:val="16"/>
          <w:szCs w:val="16"/>
        </w:rPr>
      </w:pPr>
    </w:p>
    <w:p w14:paraId="0EEB5A47" w14:textId="77777777" w:rsidR="00F21187" w:rsidRDefault="00F21187" w:rsidP="00F21187">
      <w:pPr>
        <w:pStyle w:val="EndnoteText"/>
        <w:rPr>
          <w:rFonts w:cstheme="minorHAnsi"/>
          <w:sz w:val="16"/>
          <w:szCs w:val="16"/>
        </w:rPr>
      </w:pPr>
    </w:p>
    <w:p w14:paraId="75F30C43" w14:textId="77777777" w:rsidR="00F21187" w:rsidRDefault="00F21187" w:rsidP="00F21187">
      <w:pPr>
        <w:pStyle w:val="EndnoteText"/>
        <w:rPr>
          <w:rFonts w:cstheme="minorHAnsi"/>
          <w:sz w:val="16"/>
          <w:szCs w:val="16"/>
        </w:rPr>
      </w:pPr>
    </w:p>
    <w:p w14:paraId="082A6892" w14:textId="77777777" w:rsidR="00F21187" w:rsidRDefault="00F21187" w:rsidP="00F21187">
      <w:pPr>
        <w:pStyle w:val="EndnoteText"/>
        <w:rPr>
          <w:rFonts w:cstheme="minorHAnsi"/>
          <w:sz w:val="16"/>
          <w:szCs w:val="16"/>
        </w:rPr>
      </w:pPr>
    </w:p>
    <w:p w14:paraId="5DFA50D3" w14:textId="77777777" w:rsidR="00F21187" w:rsidRDefault="00F21187" w:rsidP="00F21187">
      <w:pPr>
        <w:pStyle w:val="EndnoteText"/>
        <w:rPr>
          <w:rFonts w:cstheme="minorHAnsi"/>
          <w:sz w:val="16"/>
          <w:szCs w:val="16"/>
        </w:rPr>
      </w:pPr>
    </w:p>
    <w:p w14:paraId="66FB99CC" w14:textId="77777777" w:rsidR="00F21187" w:rsidRDefault="00F21187" w:rsidP="00F21187">
      <w:pPr>
        <w:pStyle w:val="EndnoteText"/>
        <w:rPr>
          <w:rFonts w:cstheme="minorHAnsi"/>
          <w:sz w:val="16"/>
          <w:szCs w:val="16"/>
        </w:rPr>
      </w:pPr>
    </w:p>
    <w:p w14:paraId="5D481D92" w14:textId="77777777" w:rsidR="00F21187" w:rsidRDefault="00F21187" w:rsidP="00F21187">
      <w:pPr>
        <w:pStyle w:val="EndnoteText"/>
        <w:rPr>
          <w:rFonts w:cstheme="minorHAnsi"/>
          <w:sz w:val="16"/>
          <w:szCs w:val="16"/>
        </w:rPr>
      </w:pPr>
    </w:p>
    <w:p w14:paraId="32A34A8C" w14:textId="77777777" w:rsidR="00F21187" w:rsidRDefault="00F21187" w:rsidP="00F21187">
      <w:pPr>
        <w:pStyle w:val="EndnoteText"/>
        <w:rPr>
          <w:rFonts w:cstheme="minorHAnsi"/>
          <w:sz w:val="16"/>
          <w:szCs w:val="16"/>
        </w:rPr>
      </w:pPr>
    </w:p>
    <w:p w14:paraId="3D6FB4E7" w14:textId="77777777" w:rsidR="00F21187" w:rsidRDefault="00F21187" w:rsidP="00F21187">
      <w:pPr>
        <w:pStyle w:val="EndnoteText"/>
        <w:rPr>
          <w:rFonts w:cstheme="minorHAnsi"/>
          <w:sz w:val="16"/>
          <w:szCs w:val="16"/>
        </w:rPr>
      </w:pPr>
    </w:p>
    <w:p w14:paraId="017BC5CF" w14:textId="77777777" w:rsidR="00F21187" w:rsidRDefault="00F21187" w:rsidP="00F21187">
      <w:pPr>
        <w:pStyle w:val="EndnoteText"/>
        <w:rPr>
          <w:rFonts w:cstheme="minorHAnsi"/>
          <w:sz w:val="16"/>
          <w:szCs w:val="16"/>
        </w:rPr>
      </w:pPr>
    </w:p>
    <w:p w14:paraId="0460390B" w14:textId="77777777" w:rsidR="00F21187" w:rsidRDefault="00F21187" w:rsidP="00F21187">
      <w:pPr>
        <w:pStyle w:val="EndnoteText"/>
        <w:rPr>
          <w:rFonts w:cstheme="minorHAnsi"/>
          <w:sz w:val="16"/>
          <w:szCs w:val="16"/>
        </w:rPr>
      </w:pPr>
    </w:p>
    <w:p w14:paraId="7A79203A" w14:textId="77777777" w:rsidR="00F21187" w:rsidRDefault="00F21187" w:rsidP="00F21187">
      <w:pPr>
        <w:pStyle w:val="EndnoteText"/>
        <w:rPr>
          <w:rFonts w:cstheme="minorHAnsi"/>
          <w:sz w:val="16"/>
          <w:szCs w:val="16"/>
        </w:rPr>
      </w:pPr>
    </w:p>
    <w:p w14:paraId="13D6567A" w14:textId="77777777" w:rsidR="00F21187" w:rsidRDefault="00F21187" w:rsidP="00F21187">
      <w:pPr>
        <w:pStyle w:val="EndnoteText"/>
        <w:rPr>
          <w:rFonts w:cstheme="minorHAnsi"/>
          <w:sz w:val="16"/>
          <w:szCs w:val="16"/>
        </w:rPr>
      </w:pPr>
    </w:p>
    <w:p w14:paraId="20C05539" w14:textId="77777777" w:rsidR="00F21187" w:rsidRDefault="00F21187" w:rsidP="00F21187">
      <w:pPr>
        <w:pStyle w:val="EndnoteText"/>
        <w:rPr>
          <w:rFonts w:cstheme="minorHAnsi"/>
          <w:sz w:val="16"/>
          <w:szCs w:val="16"/>
        </w:rPr>
      </w:pPr>
    </w:p>
    <w:p w14:paraId="0D922974" w14:textId="77777777" w:rsidR="00F21187" w:rsidRDefault="00F21187" w:rsidP="00F21187">
      <w:pPr>
        <w:pStyle w:val="EndnoteText"/>
        <w:rPr>
          <w:rFonts w:cstheme="minorHAnsi"/>
          <w:sz w:val="16"/>
          <w:szCs w:val="16"/>
        </w:rPr>
      </w:pPr>
    </w:p>
    <w:p w14:paraId="3B4CEE07" w14:textId="77777777" w:rsidR="00F21187" w:rsidRDefault="00F21187" w:rsidP="00F21187">
      <w:pPr>
        <w:pStyle w:val="EndnoteText"/>
        <w:rPr>
          <w:rFonts w:cstheme="minorHAnsi"/>
          <w:sz w:val="16"/>
          <w:szCs w:val="16"/>
        </w:rPr>
      </w:pPr>
    </w:p>
    <w:p w14:paraId="115466CD" w14:textId="77777777" w:rsidR="00F21187" w:rsidRDefault="00F21187" w:rsidP="00F21187">
      <w:pPr>
        <w:pStyle w:val="EndnoteText"/>
        <w:rPr>
          <w:rFonts w:cstheme="minorHAnsi"/>
          <w:sz w:val="16"/>
          <w:szCs w:val="16"/>
        </w:rPr>
      </w:pPr>
    </w:p>
    <w:p w14:paraId="6DF87B4B" w14:textId="28B12D46" w:rsidR="00F21187" w:rsidRDefault="00F21187" w:rsidP="00F21187">
      <w:pPr>
        <w:pStyle w:val="EndnoteText"/>
        <w:rPr>
          <w:rFonts w:cstheme="minorHAnsi"/>
          <w:sz w:val="16"/>
          <w:szCs w:val="16"/>
        </w:rPr>
      </w:pPr>
    </w:p>
    <w:p w14:paraId="30228D47" w14:textId="6D4918C8" w:rsidR="00F21187" w:rsidRDefault="00F21187" w:rsidP="00F21187">
      <w:pPr>
        <w:pStyle w:val="EndnoteText"/>
        <w:rPr>
          <w:rFonts w:cstheme="minorHAnsi"/>
          <w:sz w:val="16"/>
          <w:szCs w:val="16"/>
        </w:rPr>
      </w:pPr>
    </w:p>
    <w:p w14:paraId="2848A373" w14:textId="05B330BF" w:rsidR="00F21187" w:rsidRDefault="00F21187" w:rsidP="00F21187">
      <w:pPr>
        <w:pStyle w:val="EndnoteText"/>
        <w:rPr>
          <w:rFonts w:cstheme="minorHAnsi"/>
          <w:sz w:val="16"/>
          <w:szCs w:val="16"/>
        </w:rPr>
      </w:pPr>
    </w:p>
    <w:p w14:paraId="4661CB2E" w14:textId="30BC7B9A" w:rsidR="00F21187" w:rsidRDefault="00F21187" w:rsidP="00F21187">
      <w:pPr>
        <w:pStyle w:val="EndnoteText"/>
        <w:rPr>
          <w:rFonts w:cstheme="minorHAnsi"/>
          <w:sz w:val="16"/>
          <w:szCs w:val="16"/>
        </w:rPr>
      </w:pPr>
    </w:p>
    <w:p w14:paraId="49DE9F42" w14:textId="77777777" w:rsidR="00F21187" w:rsidRDefault="00F21187" w:rsidP="00F21187">
      <w:pPr>
        <w:pStyle w:val="EndnoteText"/>
        <w:rPr>
          <w:rFonts w:cstheme="minorHAnsi"/>
          <w:sz w:val="16"/>
          <w:szCs w:val="16"/>
        </w:rPr>
      </w:pPr>
    </w:p>
    <w:p w14:paraId="6F3BB91B" w14:textId="77777777" w:rsidR="00F21187" w:rsidRDefault="00F21187" w:rsidP="00F21187">
      <w:pPr>
        <w:pStyle w:val="EndnoteText"/>
        <w:rPr>
          <w:rFonts w:cstheme="minorHAnsi"/>
          <w:sz w:val="16"/>
          <w:szCs w:val="16"/>
        </w:rPr>
      </w:pPr>
    </w:p>
    <w:p w14:paraId="709EEE9E" w14:textId="77777777" w:rsidR="00F21187" w:rsidRDefault="00F21187" w:rsidP="00F21187">
      <w:pPr>
        <w:pStyle w:val="EndnoteText"/>
        <w:rPr>
          <w:rFonts w:cstheme="minorHAnsi"/>
          <w:sz w:val="16"/>
          <w:szCs w:val="16"/>
        </w:rPr>
      </w:pPr>
    </w:p>
  </w:endnote>
  <w:endnote w:id="48">
    <w:p w14:paraId="1C3525B4"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Public Health England (2017). Health and work: infographics. Online. Accessed 20 August 2021. </w:t>
      </w:r>
      <w:hyperlink r:id="rId21" w:history="1">
        <w:r>
          <w:rPr>
            <w:rStyle w:val="Hyperlink"/>
            <w:rFonts w:cstheme="minorHAnsi"/>
            <w:sz w:val="16"/>
            <w:szCs w:val="16"/>
          </w:rPr>
          <w:t>https://www.gov.uk/government/publications/health-and-work-infographics</w:t>
        </w:r>
      </w:hyperlink>
      <w:r>
        <w:rPr>
          <w:rFonts w:cstheme="minorHAnsi"/>
          <w:sz w:val="16"/>
          <w:szCs w:val="16"/>
        </w:rPr>
        <w:t xml:space="preserve"> </w:t>
      </w:r>
    </w:p>
  </w:endnote>
  <w:endnote w:id="49">
    <w:p w14:paraId="3DF41912"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Labour Force Survey (2020). Employment Status of persons by long-term main health condition JM2020-OD2020 (data request-unpublished). </w:t>
      </w:r>
    </w:p>
  </w:endnote>
  <w:endnote w:id="50">
    <w:p w14:paraId="5872A799"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Office for National Statistics. (2021). Sickness absence in the UK labour market 2020. Accessed 20 August 2021. </w:t>
      </w:r>
      <w:hyperlink r:id="rId22" w:history="1">
        <w:r>
          <w:rPr>
            <w:rStyle w:val="Hyperlink"/>
            <w:rFonts w:cstheme="minorHAnsi"/>
            <w:sz w:val="16"/>
            <w:szCs w:val="16"/>
          </w:rPr>
          <w:t>https://www.ons.gov.uk/employmentandlabourmarket/peopleinwork/labourproductivity/articles/sicknessabsenceinthelabourmarket/2020</w:t>
        </w:r>
      </w:hyperlink>
      <w:r>
        <w:rPr>
          <w:rFonts w:cstheme="minorHAnsi"/>
          <w:sz w:val="16"/>
          <w:szCs w:val="16"/>
        </w:rPr>
        <w:t xml:space="preserve"> </w:t>
      </w:r>
    </w:p>
  </w:endnote>
  <w:endnote w:id="51">
    <w:p w14:paraId="41946D2D"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Varney, J. (2016). Understanding the relationship between health, work and worklessness. Public Health England. Online. Accessed 2 July 2021. </w:t>
      </w:r>
      <w:hyperlink r:id="rId23" w:history="1">
        <w:r>
          <w:rPr>
            <w:rStyle w:val="Hyperlink"/>
            <w:rFonts w:cstheme="minorHAnsi"/>
            <w:sz w:val="16"/>
            <w:szCs w:val="16"/>
          </w:rPr>
          <w:t>https://ukhsa.blog.gov.uk/2016/09/14/understanding-the-relationship-between-health-work-and-worklessness/</w:t>
        </w:r>
      </w:hyperlink>
      <w:r>
        <w:rPr>
          <w:rFonts w:cstheme="minorHAnsi"/>
          <w:sz w:val="16"/>
          <w:szCs w:val="16"/>
        </w:rPr>
        <w:t xml:space="preserve"> </w:t>
      </w:r>
    </w:p>
  </w:endnote>
  <w:endnote w:id="52">
    <w:p w14:paraId="762D33F5"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Department for Work and Pensions (2020). Official Statistics: Access to Work statistics: April 2007 to March 2020. Accessed 2 July 2021. </w:t>
      </w:r>
      <w:hyperlink r:id="rId24" w:history="1">
        <w:r>
          <w:rPr>
            <w:rStyle w:val="Hyperlink"/>
            <w:rFonts w:cstheme="minorHAnsi"/>
            <w:sz w:val="16"/>
            <w:szCs w:val="16"/>
          </w:rPr>
          <w:t>https://www.gov.uk/government/statistics/access-to-work-statistics-april-2007-to-march-2020/access-to-work-statistics-april-2007-to-march-2020</w:t>
        </w:r>
      </w:hyperlink>
      <w:r>
        <w:rPr>
          <w:rFonts w:cstheme="minorHAnsi"/>
          <w:sz w:val="16"/>
          <w:szCs w:val="16"/>
        </w:rPr>
        <w:t xml:space="preserve"> </w:t>
      </w:r>
    </w:p>
  </w:endnote>
  <w:endnote w:id="53">
    <w:p w14:paraId="3F2F2B53" w14:textId="77777777" w:rsidR="00F21187" w:rsidRDefault="00F21187" w:rsidP="00F21187">
      <w:pPr>
        <w:pStyle w:val="EndnoteText"/>
        <w:rPr>
          <w:rFonts w:cstheme="minorHAnsi"/>
          <w:sz w:val="16"/>
          <w:szCs w:val="16"/>
          <w:highlight w:val="yellow"/>
        </w:rPr>
      </w:pPr>
      <w:r>
        <w:rPr>
          <w:rStyle w:val="EndnoteReference"/>
          <w:rFonts w:cstheme="minorHAnsi"/>
          <w:sz w:val="16"/>
          <w:szCs w:val="16"/>
        </w:rPr>
        <w:endnoteRef/>
      </w:r>
      <w:r>
        <w:rPr>
          <w:rFonts w:cstheme="minorHAnsi"/>
          <w:sz w:val="16"/>
          <w:szCs w:val="16"/>
        </w:rPr>
        <w:t xml:space="preserve"> Department for Work and Pensions (2021). Employment and Support Allowance</w:t>
      </w:r>
      <w:del w:id="26" w:author="Helen Crow" w:date="2021-09-23T16:50:00Z">
        <w:r>
          <w:rPr>
            <w:rFonts w:cstheme="minorHAnsi"/>
            <w:sz w:val="16"/>
            <w:szCs w:val="16"/>
          </w:rPr>
          <w:delText xml:space="preserve"> </w:delText>
        </w:r>
      </w:del>
      <w:r>
        <w:rPr>
          <w:rFonts w:cstheme="minorHAnsi"/>
          <w:sz w:val="16"/>
          <w:szCs w:val="16"/>
        </w:rPr>
        <w:t xml:space="preserve">: ESA data from May 2018 (data collection). Stat-Xplore Online Tool. </w:t>
      </w:r>
      <w:hyperlink r:id="rId25" w:history="1">
        <w:r>
          <w:rPr>
            <w:rStyle w:val="Hyperlink"/>
            <w:rFonts w:cstheme="minorHAnsi"/>
            <w:sz w:val="16"/>
            <w:szCs w:val="16"/>
          </w:rPr>
          <w:t>https://stat-xplore.dwp.gov.uk/webapi/jsf/login.xhtml</w:t>
        </w:r>
      </w:hyperlink>
      <w:r>
        <w:rPr>
          <w:rFonts w:cstheme="minorHAnsi"/>
          <w:sz w:val="16"/>
          <w:szCs w:val="16"/>
        </w:rPr>
        <w:t xml:space="preserve"> </w:t>
      </w:r>
    </w:p>
  </w:endnote>
  <w:endnote w:id="54">
    <w:p w14:paraId="0F9DE998"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NHS Digital. (2020). Fit Notes Issued by GP Practices, England March 2021. Experimental statistics. Accessed 20 August 2021. </w:t>
      </w:r>
      <w:hyperlink r:id="rId26" w:history="1">
        <w:r>
          <w:rPr>
            <w:rStyle w:val="Hyperlink"/>
            <w:rFonts w:cstheme="minorHAnsi"/>
            <w:sz w:val="16"/>
            <w:szCs w:val="16"/>
          </w:rPr>
          <w:t>https://digital.nhs.uk/data-and-information/publications/statistical/fit-notes-issued-by-gp-practices/march-2020</w:t>
        </w:r>
      </w:hyperlink>
      <w:r>
        <w:rPr>
          <w:rFonts w:cstheme="minorHAnsi"/>
          <w:sz w:val="16"/>
          <w:szCs w:val="16"/>
        </w:rPr>
        <w:t xml:space="preserve"> </w:t>
      </w:r>
    </w:p>
  </w:endnote>
  <w:endnote w:id="55">
    <w:p w14:paraId="4A983621" w14:textId="77777777" w:rsidR="00F21187" w:rsidRPr="00F21187" w:rsidRDefault="00F21187" w:rsidP="00F21187">
      <w:pPr>
        <w:autoSpaceDE w:val="0"/>
        <w:autoSpaceDN w:val="0"/>
        <w:adjustRightInd w:val="0"/>
        <w:spacing w:after="0" w:line="240" w:lineRule="auto"/>
        <w:rPr>
          <w:rFonts w:cstheme="minorHAnsi"/>
          <w:sz w:val="16"/>
          <w:szCs w:val="16"/>
        </w:rPr>
      </w:pPr>
      <w:r>
        <w:rPr>
          <w:rStyle w:val="EndnoteReference"/>
          <w:rFonts w:cstheme="minorHAnsi"/>
          <w:sz w:val="16"/>
          <w:szCs w:val="16"/>
        </w:rPr>
        <w:endnoteRef/>
      </w:r>
      <w:r>
        <w:rPr>
          <w:rFonts w:cstheme="minorHAnsi"/>
          <w:sz w:val="16"/>
          <w:szCs w:val="16"/>
        </w:rPr>
        <w:t xml:space="preserve">  </w:t>
      </w:r>
      <w:r w:rsidRPr="00F21187">
        <w:rPr>
          <w:rFonts w:cstheme="minorHAnsi"/>
          <w:sz w:val="16"/>
          <w:szCs w:val="16"/>
        </w:rPr>
        <w:t xml:space="preserve">Jordan KP, Kadam UT, Hayward R, </w:t>
      </w:r>
      <w:r w:rsidRPr="00F21187">
        <w:rPr>
          <w:rFonts w:cstheme="minorHAnsi"/>
          <w:sz w:val="16"/>
          <w:szCs w:val="16"/>
        </w:rPr>
        <w:t>Porcheret M, Young C, Croft P. (2010).</w:t>
      </w:r>
    </w:p>
    <w:p w14:paraId="4C616E53" w14:textId="77777777" w:rsidR="00F21187" w:rsidRPr="00F21187" w:rsidRDefault="00F21187" w:rsidP="00F21187">
      <w:pPr>
        <w:autoSpaceDE w:val="0"/>
        <w:autoSpaceDN w:val="0"/>
        <w:adjustRightInd w:val="0"/>
        <w:spacing w:after="0" w:line="240" w:lineRule="auto"/>
        <w:rPr>
          <w:rFonts w:cstheme="minorHAnsi"/>
          <w:sz w:val="16"/>
          <w:szCs w:val="16"/>
        </w:rPr>
      </w:pPr>
      <w:r w:rsidRPr="00F21187">
        <w:rPr>
          <w:rFonts w:cstheme="minorHAnsi"/>
          <w:sz w:val="16"/>
          <w:szCs w:val="16"/>
        </w:rPr>
        <w:t>Annual consultation prevalence of regional musculoskeletal problems in primary</w:t>
      </w:r>
    </w:p>
    <w:p w14:paraId="50D233ED" w14:textId="77777777" w:rsidR="00F21187" w:rsidRPr="00F21187" w:rsidRDefault="00F21187" w:rsidP="00F21187">
      <w:pPr>
        <w:autoSpaceDE w:val="0"/>
        <w:autoSpaceDN w:val="0"/>
        <w:adjustRightInd w:val="0"/>
        <w:spacing w:after="0" w:line="240" w:lineRule="auto"/>
        <w:rPr>
          <w:rFonts w:cstheme="minorHAnsi"/>
          <w:sz w:val="16"/>
          <w:szCs w:val="16"/>
        </w:rPr>
      </w:pPr>
      <w:r w:rsidRPr="00F21187">
        <w:rPr>
          <w:rFonts w:cstheme="minorHAnsi"/>
          <w:sz w:val="16"/>
          <w:szCs w:val="16"/>
        </w:rPr>
        <w:t>care: an observational study. BMC Musculoskeletal Disorders, 11:144. DOI:</w:t>
      </w:r>
    </w:p>
    <w:p w14:paraId="381728E9" w14:textId="2342CF2F" w:rsidR="00F21187" w:rsidRDefault="00F21187" w:rsidP="00F21187">
      <w:pPr>
        <w:pStyle w:val="EndnoteText"/>
        <w:rPr>
          <w:rFonts w:cstheme="minorHAnsi"/>
          <w:sz w:val="16"/>
          <w:szCs w:val="16"/>
        </w:rPr>
      </w:pPr>
      <w:r w:rsidRPr="00F21187">
        <w:rPr>
          <w:rFonts w:cstheme="minorHAnsi"/>
          <w:sz w:val="16"/>
          <w:szCs w:val="16"/>
        </w:rPr>
        <w:t>10.1186/1471-2474-11-</w:t>
      </w:r>
      <w:r>
        <w:rPr>
          <w:rFonts w:cstheme="minorHAnsi"/>
          <w:sz w:val="16"/>
          <w:szCs w:val="16"/>
        </w:rPr>
        <w:t xml:space="preserve"> </w:t>
      </w:r>
    </w:p>
  </w:endnote>
  <w:endnote w:id="56">
    <w:p w14:paraId="5627A9C0" w14:textId="0F32BE0A" w:rsidR="00F21187" w:rsidRPr="00F21187" w:rsidRDefault="00F21187" w:rsidP="00F21187">
      <w:pPr>
        <w:autoSpaceDE w:val="0"/>
        <w:autoSpaceDN w:val="0"/>
        <w:adjustRightInd w:val="0"/>
        <w:spacing w:after="0" w:line="240" w:lineRule="auto"/>
        <w:rPr>
          <w:rFonts w:cstheme="minorHAnsi"/>
          <w:sz w:val="16"/>
          <w:szCs w:val="16"/>
        </w:rPr>
      </w:pPr>
      <w:r>
        <w:rPr>
          <w:rStyle w:val="EndnoteReference"/>
          <w:rFonts w:cstheme="minorHAnsi"/>
          <w:sz w:val="16"/>
          <w:szCs w:val="16"/>
        </w:rPr>
        <w:endnoteRef/>
      </w:r>
      <w:r>
        <w:rPr>
          <w:rFonts w:cstheme="minorHAnsi"/>
          <w:sz w:val="16"/>
          <w:szCs w:val="16"/>
        </w:rPr>
        <w:t xml:space="preserve"> </w:t>
      </w:r>
      <w:r w:rsidRPr="00F21187">
        <w:rPr>
          <w:rFonts w:cstheme="minorHAnsi"/>
          <w:sz w:val="16"/>
          <w:szCs w:val="16"/>
        </w:rPr>
        <w:t xml:space="preserve">Jordan KP, </w:t>
      </w:r>
      <w:r w:rsidRPr="00F21187">
        <w:rPr>
          <w:rFonts w:cstheme="minorHAnsi"/>
          <w:sz w:val="16"/>
          <w:szCs w:val="16"/>
        </w:rPr>
        <w:t>Jöud A, Bergknut C, Croft P, Edwards JJ, Peat G, Petersson IF,</w:t>
      </w:r>
      <w:r>
        <w:rPr>
          <w:rFonts w:cstheme="minorHAnsi"/>
          <w:sz w:val="16"/>
          <w:szCs w:val="16"/>
        </w:rPr>
        <w:t xml:space="preserve"> </w:t>
      </w:r>
      <w:r w:rsidRPr="00F21187">
        <w:rPr>
          <w:rFonts w:cstheme="minorHAnsi"/>
          <w:sz w:val="16"/>
          <w:szCs w:val="16"/>
        </w:rPr>
        <w:t>Turkiewicz A, Wilkie R, Englund M. (2014) International comparisons of the</w:t>
      </w:r>
      <w:r>
        <w:rPr>
          <w:rFonts w:cstheme="minorHAnsi"/>
          <w:sz w:val="16"/>
          <w:szCs w:val="16"/>
        </w:rPr>
        <w:t xml:space="preserve"> </w:t>
      </w:r>
      <w:r w:rsidRPr="00F21187">
        <w:rPr>
          <w:rFonts w:cstheme="minorHAnsi"/>
          <w:sz w:val="16"/>
          <w:szCs w:val="16"/>
        </w:rPr>
        <w:t>prevalence of health care for musculoskeletal disorders using population-based</w:t>
      </w:r>
      <w:r>
        <w:rPr>
          <w:rFonts w:cstheme="minorHAnsi"/>
          <w:sz w:val="16"/>
          <w:szCs w:val="16"/>
        </w:rPr>
        <w:t xml:space="preserve"> </w:t>
      </w:r>
      <w:r w:rsidRPr="00F21187">
        <w:rPr>
          <w:rFonts w:cstheme="minorHAnsi"/>
          <w:sz w:val="16"/>
          <w:szCs w:val="16"/>
        </w:rPr>
        <w:t>health care data from England and Sweden. Annals of the Rheumatic Diseases.</w:t>
      </w:r>
    </w:p>
    <w:p w14:paraId="033B67DA" w14:textId="2230FF89" w:rsidR="00F21187" w:rsidRDefault="00F21187" w:rsidP="00F21187">
      <w:pPr>
        <w:pStyle w:val="EndnoteText"/>
        <w:rPr>
          <w:rFonts w:cstheme="minorHAnsi"/>
          <w:sz w:val="16"/>
          <w:szCs w:val="16"/>
        </w:rPr>
      </w:pPr>
      <w:r w:rsidRPr="00F21187">
        <w:rPr>
          <w:rFonts w:cstheme="minorHAnsi"/>
          <w:sz w:val="16"/>
          <w:szCs w:val="16"/>
        </w:rPr>
        <w:t>73(1), 212-218. DOI: 10.1136/annrheumdis-2012-202634</w:t>
      </w:r>
      <w:r>
        <w:rPr>
          <w:rFonts w:cstheme="minorHAnsi"/>
          <w:sz w:val="16"/>
          <w:szCs w:val="16"/>
        </w:rPr>
        <w:t>.</w:t>
      </w:r>
    </w:p>
  </w:endnote>
  <w:endnote w:id="57">
    <w:p w14:paraId="0E05BA30"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NHS Digital. (2020). Hospital Admitted Patient Care Activity 2019-20. Accessed 08 August 2021. </w:t>
      </w:r>
      <w:hyperlink r:id="rId27" w:history="1">
        <w:r>
          <w:rPr>
            <w:rStyle w:val="Hyperlink"/>
            <w:rFonts w:cstheme="minorHAnsi"/>
            <w:sz w:val="16"/>
            <w:szCs w:val="16"/>
          </w:rPr>
          <w:t>https://digital.nhs.uk/data-and-information/publications/statistical/hospital-admitted-patient-care-activity/2019-20</w:t>
        </w:r>
      </w:hyperlink>
      <w:r>
        <w:rPr>
          <w:rFonts w:cstheme="minorHAnsi"/>
          <w:sz w:val="16"/>
          <w:szCs w:val="16"/>
        </w:rPr>
        <w:t xml:space="preserve"> </w:t>
      </w:r>
    </w:p>
  </w:endnote>
  <w:endnote w:id="58">
    <w:p w14:paraId="0CC47305"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National Joint Registry. (2020). 17th Annual Report 2020. National Joint Registry for England, Wales, Northern Ireland, and the Isle of Man, NJR Reports. Online. Accessed July 2021. </w:t>
      </w:r>
      <w:hyperlink r:id="rId28" w:history="1">
        <w:r>
          <w:rPr>
            <w:rStyle w:val="Hyperlink"/>
            <w:rFonts w:cstheme="minorHAnsi"/>
            <w:sz w:val="16"/>
            <w:szCs w:val="16"/>
          </w:rPr>
          <w:t>https://reports.njrcentre.org.uk/</w:t>
        </w:r>
      </w:hyperlink>
      <w:r>
        <w:rPr>
          <w:rFonts w:cstheme="minorHAnsi"/>
          <w:sz w:val="16"/>
          <w:szCs w:val="16"/>
        </w:rPr>
        <w:t xml:space="preserve"> </w:t>
      </w:r>
    </w:p>
  </w:endnote>
  <w:endnote w:id="59">
    <w:p w14:paraId="677D4767"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National Services Scotland. (2021). Scottish Arthroplasty Project Annual Report 2020. Online. Accessed July 2021. </w:t>
      </w:r>
      <w:hyperlink r:id="rId29" w:history="1">
        <w:r>
          <w:rPr>
            <w:rStyle w:val="Hyperlink"/>
            <w:rFonts w:cstheme="minorHAnsi"/>
            <w:sz w:val="16"/>
            <w:szCs w:val="16"/>
          </w:rPr>
          <w:t>https://www.arthro.scot.nhs.uk/Reports/Dashboard-2020.html</w:t>
        </w:r>
      </w:hyperlink>
      <w:r>
        <w:rPr>
          <w:rFonts w:cstheme="minorHAnsi"/>
          <w:sz w:val="16"/>
          <w:szCs w:val="16"/>
        </w:rPr>
        <w:t xml:space="preserve"> </w:t>
      </w:r>
    </w:p>
  </w:endnote>
  <w:endnote w:id="60">
    <w:p w14:paraId="4C292A49"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Sayers, AE. et al. (2021). The COVID-19 induced joint replacement deficit in England, Wales and Northern Ireland. (</w:t>
      </w:r>
      <w:r>
        <w:rPr>
          <w:rFonts w:cstheme="minorHAnsi"/>
          <w:sz w:val="16"/>
          <w:szCs w:val="16"/>
        </w:rPr>
        <w:t xml:space="preserve">UnderReview). Accessed August 2021. </w:t>
      </w:r>
      <w:hyperlink r:id="rId30" w:history="1">
        <w:r>
          <w:rPr>
            <w:rStyle w:val="Hyperlink"/>
            <w:rFonts w:cstheme="minorHAnsi"/>
            <w:sz w:val="16"/>
            <w:szCs w:val="16"/>
          </w:rPr>
          <w:t>https://research-information.bris.ac.uk/en/publications/the-covid-19-induced-joint-replacement-deficit-in-england-wales-a</w:t>
        </w:r>
      </w:hyperlink>
      <w:r>
        <w:rPr>
          <w:rFonts w:cstheme="minorHAnsi"/>
          <w:sz w:val="16"/>
          <w:szCs w:val="16"/>
        </w:rPr>
        <w:t xml:space="preserve"> </w:t>
      </w:r>
    </w:p>
  </w:endnote>
  <w:endnote w:id="61">
    <w:p w14:paraId="624813A0"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Royal College of Physicians. (2020). National Hip Fracture Database (NHFD): Data from January to December 2019. Falls and Fragility Fracture Audit Programme. Accessed July 2021. </w:t>
      </w:r>
      <w:hyperlink r:id="rId31" w:history="1">
        <w:r>
          <w:rPr>
            <w:rStyle w:val="Hyperlink"/>
            <w:rFonts w:cstheme="minorHAnsi"/>
            <w:sz w:val="16"/>
            <w:szCs w:val="16"/>
          </w:rPr>
          <w:t>https://www.nhfd.co.uk/20/hipfractureR.nsf/docs/2020Report</w:t>
        </w:r>
      </w:hyperlink>
      <w:r>
        <w:rPr>
          <w:rFonts w:cstheme="minorHAnsi"/>
          <w:sz w:val="16"/>
          <w:szCs w:val="16"/>
        </w:rPr>
        <w:t xml:space="preserve"> (~67,000 people)</w:t>
      </w:r>
    </w:p>
  </w:endnote>
  <w:endnote w:id="62">
    <w:p w14:paraId="0225CA8E" w14:textId="77777777" w:rsidR="00F21187" w:rsidRDefault="00F21187" w:rsidP="00F21187">
      <w:pPr>
        <w:autoSpaceDE w:val="0"/>
        <w:autoSpaceDN w:val="0"/>
        <w:adjustRightInd w:val="0"/>
        <w:spacing w:after="0" w:line="240" w:lineRule="auto"/>
        <w:rPr>
          <w:rFonts w:eastAsia="Calibre-Regular" w:cstheme="minorHAnsi"/>
          <w:sz w:val="16"/>
          <w:szCs w:val="16"/>
        </w:rPr>
      </w:pPr>
      <w:r>
        <w:rPr>
          <w:rStyle w:val="EndnoteReference"/>
          <w:rFonts w:cstheme="minorHAnsi"/>
          <w:sz w:val="16"/>
          <w:szCs w:val="16"/>
        </w:rPr>
        <w:endnoteRef/>
      </w:r>
      <w:r>
        <w:rPr>
          <w:rFonts w:cstheme="minorHAnsi"/>
          <w:sz w:val="16"/>
          <w:szCs w:val="16"/>
        </w:rPr>
        <w:t xml:space="preserve"> </w:t>
      </w:r>
      <w:r>
        <w:rPr>
          <w:rFonts w:eastAsia="Calibre-Regular" w:cstheme="minorHAnsi"/>
          <w:sz w:val="16"/>
          <w:szCs w:val="16"/>
        </w:rPr>
        <w:t>National Services Scotland. (2021). Scottish Hip Fracture Audit. Hip Fracture Care Pathway Report 2020. NSS Information and Intelligence. Accessed August 20</w:t>
      </w:r>
      <w:r>
        <w:rPr>
          <w:rFonts w:eastAsia="Calibre-Regular" w:cstheme="minorHAnsi"/>
          <w:sz w:val="16"/>
          <w:szCs w:val="16"/>
        </w:rPr>
        <w:t xml:space="preserve"> 2021. </w:t>
      </w:r>
      <w:hyperlink r:id="rId32" w:history="1">
        <w:r>
          <w:rPr>
            <w:rStyle w:val="Hyperlink"/>
            <w:rFonts w:eastAsia="Calibre-Regular" w:cstheme="minorHAnsi"/>
            <w:sz w:val="16"/>
            <w:szCs w:val="16"/>
          </w:rPr>
          <w:t>https://www.publichealthscotland.scot/media/8737/v4_shfa-annual-report-2021_0415.pdf</w:t>
        </w:r>
      </w:hyperlink>
      <w:r>
        <w:rPr>
          <w:rFonts w:eastAsia="Calibre-Regular" w:cstheme="minorHAnsi"/>
          <w:sz w:val="16"/>
          <w:szCs w:val="16"/>
        </w:rPr>
        <w:t xml:space="preserve">  (~7,000 people)</w:t>
      </w:r>
    </w:p>
  </w:endnote>
  <w:endnote w:id="63">
    <w:p w14:paraId="7ED84C80" w14:textId="53F7E929"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NHS England Business Services Authority. (2021). Prescription Cost Analysis - England 2020/2021. Statistical Summary Tables-Calendar Year. Accessed 08 August 2021. </w:t>
      </w:r>
      <w:hyperlink r:id="rId33" w:history="1">
        <w:r w:rsidRPr="00F21187">
          <w:rPr>
            <w:rStyle w:val="Hyperlink"/>
            <w:rFonts w:cstheme="minorHAnsi"/>
            <w:sz w:val="16"/>
            <w:szCs w:val="16"/>
          </w:rPr>
          <w:t>https://view.officeapps.live.com/op/view.aspx?src=https%3A%2F%2Fnhsbsa-opendata.s3.eu-west-2.amazonaws.com%2Fpca%2Fpca_summary_tables_2020_v001.xlsx&amp;wdOrigin=BROWSELINK</w:t>
        </w:r>
      </w:hyperlink>
      <w:r>
        <w:rPr>
          <w:rFonts w:cstheme="minorHAnsi"/>
          <w:sz w:val="16"/>
          <w:szCs w:val="16"/>
        </w:rPr>
        <w:t xml:space="preserve"> </w:t>
      </w:r>
    </w:p>
  </w:endnote>
  <w:endnote w:id="64">
    <w:p w14:paraId="4AFBBD11" w14:textId="77777777" w:rsidR="00F21187" w:rsidRDefault="00F21187" w:rsidP="00F21187">
      <w:pPr>
        <w:pStyle w:val="EndnoteText"/>
        <w:rPr>
          <w:rFonts w:cstheme="minorHAnsi"/>
          <w:sz w:val="16"/>
          <w:szCs w:val="16"/>
        </w:rPr>
      </w:pPr>
      <w:r>
        <w:rPr>
          <w:rStyle w:val="EndnoteReference"/>
          <w:rFonts w:cstheme="minorHAnsi"/>
          <w:sz w:val="16"/>
          <w:szCs w:val="16"/>
        </w:rPr>
        <w:endnoteRef/>
      </w:r>
      <w:r>
        <w:rPr>
          <w:rFonts w:cstheme="minorHAnsi"/>
          <w:sz w:val="16"/>
          <w:szCs w:val="16"/>
        </w:rPr>
        <w:t xml:space="preserve"> Ipsos Mori and NHS England. (2020). GP Patient Survey January-March 2020 (data collection). Accessed March 2021. </w:t>
      </w:r>
      <w:hyperlink r:id="rId34" w:history="1">
        <w:r>
          <w:rPr>
            <w:rStyle w:val="Hyperlink"/>
            <w:rFonts w:cstheme="minorHAnsi"/>
            <w:sz w:val="16"/>
            <w:szCs w:val="16"/>
          </w:rPr>
          <w:t>https://gp-patient.co.uk/surveysandreports2020</w:t>
        </w:r>
      </w:hyperlink>
      <w:r>
        <w:rPr>
          <w:rFonts w:cstheme="minorHAnsi"/>
          <w:sz w:val="16"/>
          <w:szCs w:val="16"/>
        </w:rPr>
        <w:t xml:space="preserve"> </w:t>
      </w:r>
    </w:p>
  </w:endnote>
  <w:endnote w:id="65">
    <w:p w14:paraId="36911B9B" w14:textId="77777777" w:rsidR="00F21187" w:rsidRDefault="00F21187" w:rsidP="00F21187">
      <w:pPr>
        <w:pStyle w:val="EndnoteText"/>
        <w:rPr>
          <w:sz w:val="16"/>
          <w:szCs w:val="16"/>
        </w:rPr>
      </w:pPr>
      <w:r>
        <w:rPr>
          <w:rStyle w:val="EndnoteReference"/>
          <w:sz w:val="16"/>
          <w:szCs w:val="16"/>
        </w:rPr>
        <w:endnoteRef/>
      </w:r>
      <w:r>
        <w:rPr>
          <w:sz w:val="16"/>
          <w:szCs w:val="16"/>
        </w:rPr>
        <w:t xml:space="preserve"> NHS England (2015). CCG Programme Budgeting Benchmarking Tool 2013/14.</w:t>
      </w:r>
    </w:p>
  </w:endnote>
  <w:endnote w:id="66">
    <w:p w14:paraId="77DCC865" w14:textId="77777777" w:rsidR="00F21187" w:rsidRDefault="00F21187" w:rsidP="00F21187">
      <w:pPr>
        <w:pStyle w:val="EndnoteText"/>
        <w:rPr>
          <w:sz w:val="16"/>
          <w:szCs w:val="16"/>
        </w:rPr>
      </w:pPr>
      <w:r>
        <w:rPr>
          <w:rStyle w:val="EndnoteReference"/>
          <w:sz w:val="16"/>
          <w:szCs w:val="16"/>
        </w:rPr>
        <w:endnoteRef/>
      </w:r>
      <w:r>
        <w:rPr>
          <w:sz w:val="16"/>
          <w:szCs w:val="16"/>
        </w:rPr>
        <w:t xml:space="preserve"> Public Health England (2019). Health matters: health and work. Online. Accessed 2021 June 20. </w:t>
      </w:r>
      <w:hyperlink r:id="rId35" w:history="1">
        <w:r>
          <w:rPr>
            <w:rStyle w:val="Hyperlink"/>
            <w:sz w:val="16"/>
            <w:szCs w:val="16"/>
          </w:rPr>
          <w:t>https://www.gov.uk/government/publications/health-matters-health-and-work/health-matters-health-and-work</w:t>
        </w:r>
      </w:hyperlink>
      <w:r>
        <w:rPr>
          <w:sz w:val="16"/>
          <w:szCs w:val="16"/>
        </w:rPr>
        <w:t xml:space="preserve"> </w:t>
      </w:r>
    </w:p>
  </w:endnote>
  <w:endnote w:id="67">
    <w:p w14:paraId="6C00C8A5" w14:textId="77777777" w:rsidR="00F21187" w:rsidRDefault="00F21187" w:rsidP="00F21187">
      <w:pPr>
        <w:pStyle w:val="EndnoteText"/>
        <w:rPr>
          <w:sz w:val="16"/>
          <w:szCs w:val="16"/>
        </w:rPr>
      </w:pPr>
      <w:r>
        <w:rPr>
          <w:rStyle w:val="EndnoteReference"/>
          <w:sz w:val="16"/>
          <w:szCs w:val="16"/>
        </w:rPr>
        <w:endnoteRef/>
      </w:r>
      <w:r>
        <w:rPr>
          <w:sz w:val="16"/>
          <w:szCs w:val="16"/>
        </w:rPr>
        <w:t xml:space="preserve"> NHS Employers (2014). Back in Work: Introduction and Key Messages. </w:t>
      </w:r>
      <w:hyperlink r:id="rId36" w:history="1">
        <w:r>
          <w:rPr>
            <w:rStyle w:val="Hyperlink"/>
            <w:sz w:val="16"/>
            <w:szCs w:val="16"/>
          </w:rPr>
          <w:t>http://www.nhsemployers.org/-/media/Employers/Documents/Retain-and-improve/Back-in-Work/Back-in-work-part-1-Introduction-and-key-messages-web-final-25-March.pdf?la=en&amp;hash=EFA3598B5B049291C6F3B0CF9B8AFE34529C5C60m</w:t>
        </w:r>
      </w:hyperlink>
      <w:r>
        <w:rPr>
          <w:sz w:val="16"/>
          <w:szCs w:val="16"/>
        </w:rPr>
        <w:t xml:space="preserve"> </w:t>
      </w:r>
    </w:p>
  </w:endnote>
  <w:endnote w:id="68">
    <w:p w14:paraId="751E48D1" w14:textId="77777777" w:rsidR="00F21187" w:rsidRDefault="00F21187" w:rsidP="00F21187">
      <w:pPr>
        <w:pStyle w:val="EndnoteText"/>
        <w:rPr>
          <w:sz w:val="16"/>
          <w:szCs w:val="16"/>
        </w:rPr>
      </w:pPr>
      <w:r>
        <w:rPr>
          <w:rStyle w:val="EndnoteReference"/>
          <w:sz w:val="16"/>
          <w:szCs w:val="16"/>
        </w:rPr>
        <w:endnoteRef/>
      </w:r>
      <w:r>
        <w:rPr>
          <w:sz w:val="16"/>
          <w:szCs w:val="16"/>
        </w:rPr>
        <w:t xml:space="preserve"> York Health Economics. (2017). The Cost of Arthritis: Calculation conducted on behalf of Arthritis Research UK (unpublished).</w:t>
      </w:r>
    </w:p>
  </w:endnote>
  <w:endnote w:id="69">
    <w:p w14:paraId="25DC62E7" w14:textId="77777777" w:rsidR="00F21187" w:rsidRDefault="00F21187" w:rsidP="00F21187">
      <w:pPr>
        <w:pStyle w:val="EndnoteText"/>
        <w:rPr>
          <w:sz w:val="16"/>
          <w:szCs w:val="16"/>
        </w:rPr>
      </w:pPr>
      <w:r>
        <w:rPr>
          <w:rStyle w:val="EndnoteReference"/>
          <w:sz w:val="16"/>
          <w:szCs w:val="16"/>
        </w:rPr>
        <w:endnoteRef/>
      </w:r>
      <w:r>
        <w:rPr>
          <w:sz w:val="16"/>
          <w:szCs w:val="16"/>
        </w:rPr>
        <w:t xml:space="preserve"> </w:t>
      </w:r>
      <w:r>
        <w:rPr>
          <w:sz w:val="16"/>
          <w:szCs w:val="16"/>
        </w:rPr>
        <w:t>Maniadakis, N. &amp; Gray, A. (2000). The economic burden of back pain in the UK. Pain. 84(1), 95-103. DOI: 10.1016/S0304-3959(99)00187-6</w:t>
      </w:r>
    </w:p>
  </w:endnote>
  <w:endnote w:id="70">
    <w:p w14:paraId="12CAFDD4" w14:textId="77777777" w:rsidR="00F21187" w:rsidRDefault="00F21187" w:rsidP="00F21187">
      <w:pPr>
        <w:pStyle w:val="EndnoteText"/>
        <w:rPr>
          <w:sz w:val="16"/>
          <w:szCs w:val="16"/>
        </w:rPr>
      </w:pPr>
      <w:r>
        <w:rPr>
          <w:rStyle w:val="EndnoteReference"/>
          <w:sz w:val="16"/>
          <w:szCs w:val="16"/>
        </w:rPr>
        <w:endnoteRef/>
      </w:r>
      <w:r>
        <w:rPr>
          <w:sz w:val="16"/>
          <w:szCs w:val="16"/>
        </w:rPr>
        <w:t xml:space="preserve"> Leal, J., Gray, A. &amp; Javaid, M. (2016).  Impact of hip fracture on hospital care costs: a population-based study. </w:t>
      </w:r>
      <w:r>
        <w:rPr>
          <w:sz w:val="16"/>
          <w:szCs w:val="16"/>
        </w:rPr>
        <w:t xml:space="preserve">Osteoporos Int. 27, 549-58. DOI: 10.1007/s00198-015-3277-9 </w:t>
      </w:r>
    </w:p>
  </w:endnote>
  <w:endnote w:id="71">
    <w:p w14:paraId="1078738D" w14:textId="77777777" w:rsidR="00F21187" w:rsidRDefault="00F21187" w:rsidP="00F21187">
      <w:pPr>
        <w:pStyle w:val="EndnoteText"/>
        <w:rPr>
          <w:sz w:val="16"/>
          <w:szCs w:val="16"/>
        </w:rPr>
      </w:pPr>
      <w:r>
        <w:rPr>
          <w:rStyle w:val="EndnoteReference"/>
          <w:sz w:val="16"/>
          <w:szCs w:val="16"/>
        </w:rPr>
        <w:endnoteRef/>
      </w:r>
      <w:r>
        <w:rPr>
          <w:sz w:val="16"/>
          <w:szCs w:val="16"/>
        </w:rPr>
        <w:t xml:space="preserve"> Husain, M. J., Brophy, S., Cooksey, R., Rahman, M. A., Phillips, C. J. &amp; Siebert, S. (2014). The Work-Related Costs of Ankylosing Spondylitis in a UK Cohort. Rheumatology. 43, pp. 140-141. </w:t>
      </w:r>
      <w:hyperlink r:id="rId37" w:history="1">
        <w:r>
          <w:rPr>
            <w:rStyle w:val="Hyperlink"/>
            <w:sz w:val="16"/>
            <w:szCs w:val="16"/>
          </w:rPr>
          <w:t>https://doi.org/10.1093/rheumatology/keu115.010</w:t>
        </w:r>
      </w:hyperlink>
      <w:r>
        <w:rPr>
          <w:sz w:val="16"/>
          <w:szCs w:val="16"/>
        </w:rPr>
        <w:t xml:space="preserve"> </w:t>
      </w:r>
    </w:p>
  </w:endnote>
  <w:endnote w:id="72">
    <w:p w14:paraId="77F5B146" w14:textId="77777777" w:rsidR="00F21187" w:rsidRDefault="00F21187" w:rsidP="00F21187">
      <w:pPr>
        <w:pStyle w:val="EndnoteText"/>
        <w:rPr>
          <w:sz w:val="18"/>
          <w:szCs w:val="18"/>
        </w:rPr>
      </w:pPr>
      <w:r>
        <w:rPr>
          <w:rStyle w:val="EndnoteReference"/>
          <w:sz w:val="16"/>
          <w:szCs w:val="16"/>
        </w:rPr>
        <w:endnoteRef/>
      </w:r>
      <w:r>
        <w:rPr>
          <w:sz w:val="16"/>
          <w:szCs w:val="16"/>
        </w:rPr>
        <w:t xml:space="preserve"> Oliver, D., Foot, C., Humphries, R. (2014). Making our health and care systems fit for an ageing population. The King’s Fund.  </w:t>
      </w:r>
      <w:hyperlink r:id="rId38" w:history="1">
        <w:r>
          <w:rPr>
            <w:rStyle w:val="Hyperlink"/>
            <w:sz w:val="16"/>
            <w:szCs w:val="16"/>
          </w:rPr>
          <w:t>https://www.kingsfund.org.uk/sites/default/files/field/field_publication_file/making-health-care-systems-fit-ageing-population-oliver-foot-humphries-mar14.pdf</w:t>
        </w:r>
      </w:hyperlink>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susArthritis-Display">
    <w:altName w:val="Calibri"/>
    <w:panose1 w:val="00000000000000000000"/>
    <w:charset w:val="00"/>
    <w:family w:val="swiss"/>
    <w:notTrueType/>
    <w:pitch w:val="default"/>
    <w:sig w:usb0="00000003" w:usb1="00000000" w:usb2="00000000" w:usb3="00000000" w:csb0="00000001" w:csb1="00000000"/>
  </w:font>
  <w:font w:name="Calibre-Medium">
    <w:altName w:val="Calibri"/>
    <w:panose1 w:val="00000000000000000000"/>
    <w:charset w:val="00"/>
    <w:family w:val="swiss"/>
    <w:notTrueType/>
    <w:pitch w:val="default"/>
    <w:sig w:usb0="00000003" w:usb1="00000000" w:usb2="00000000" w:usb3="00000000" w:csb0="00000001" w:csb1="00000000"/>
  </w:font>
  <w:font w:name="Calibre-Regular">
    <w:altName w:val="Yu Gothic"/>
    <w:panose1 w:val="00000000000000000000"/>
    <w:charset w:val="80"/>
    <w:family w:val="swiss"/>
    <w:notTrueType/>
    <w:pitch w:val="default"/>
    <w:sig w:usb0="00000003" w:usb1="08070000" w:usb2="00000010" w:usb3="00000000" w:csb0="00020001" w:csb1="00000000"/>
  </w:font>
  <w:font w:name="Calibre Light">
    <w:altName w:val="Calibre Light"/>
    <w:panose1 w:val="00000000000000000000"/>
    <w:charset w:val="00"/>
    <w:family w:val="swiss"/>
    <w:notTrueType/>
    <w:pitch w:val="variable"/>
    <w:sig w:usb0="00000007" w:usb1="00000000" w:usb2="00000000" w:usb3="00000000" w:csb0="00000093" w:csb1="00000000"/>
  </w:font>
  <w:font w:name="FSMe">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C022" w14:textId="77777777" w:rsidR="00F21187" w:rsidRDefault="00F21187" w:rsidP="00F21187">
      <w:pPr>
        <w:spacing w:after="0" w:line="240" w:lineRule="auto"/>
      </w:pPr>
      <w:r>
        <w:separator/>
      </w:r>
    </w:p>
  </w:footnote>
  <w:footnote w:type="continuationSeparator" w:id="0">
    <w:p w14:paraId="04EE39F4" w14:textId="77777777" w:rsidR="00F21187" w:rsidRDefault="00F21187" w:rsidP="00F21187">
      <w:pPr>
        <w:spacing w:after="0" w:line="240" w:lineRule="auto"/>
      </w:pPr>
      <w:r>
        <w:continuationSeparator/>
      </w:r>
    </w:p>
  </w:footnote>
  <w:footnote w:id="1">
    <w:p w14:paraId="5C811197" w14:textId="77777777" w:rsidR="00F21187" w:rsidRDefault="00F21187" w:rsidP="00F21187">
      <w:pPr>
        <w:pStyle w:val="FootnoteText"/>
      </w:pPr>
      <w:r>
        <w:rPr>
          <w:rStyle w:val="FootnoteReference"/>
        </w:rPr>
        <w:footnoteRef/>
      </w:r>
      <w:r>
        <w:t xml:space="preserve"> </w:t>
      </w:r>
      <w:r>
        <w:rPr>
          <w:sz w:val="18"/>
          <w:szCs w:val="14"/>
        </w:rPr>
        <w:t>Defined as a condition or illness that has lasted or is expected to last a year or more.</w:t>
      </w:r>
    </w:p>
  </w:footnote>
  <w:footnote w:id="2">
    <w:p w14:paraId="5E8CAB97" w14:textId="77777777" w:rsidR="00F21187" w:rsidRDefault="00F21187" w:rsidP="00F21187">
      <w:pPr>
        <w:pStyle w:val="FootnoteText"/>
        <w:rPr>
          <w:sz w:val="18"/>
          <w:szCs w:val="18"/>
        </w:rPr>
      </w:pPr>
      <w:r>
        <w:rPr>
          <w:rStyle w:val="FootnoteReference"/>
        </w:rPr>
        <w:footnoteRef/>
      </w:r>
      <w:r>
        <w:t xml:space="preserve"> </w:t>
      </w:r>
      <w:r>
        <w:rPr>
          <w:sz w:val="18"/>
          <w:szCs w:val="18"/>
        </w:rPr>
        <w:t>prevalence estimation varies due to variation in classification/diagnostic criteria</w:t>
      </w:r>
    </w:p>
  </w:footnote>
  <w:footnote w:id="3">
    <w:p w14:paraId="559FA29C" w14:textId="77777777" w:rsidR="00F21187" w:rsidRDefault="00F21187" w:rsidP="00F21187">
      <w:pPr>
        <w:pStyle w:val="FootnoteText"/>
        <w:rPr>
          <w:sz w:val="18"/>
          <w:szCs w:val="18"/>
        </w:rPr>
      </w:pPr>
      <w:r>
        <w:rPr>
          <w:rStyle w:val="FootnoteReference"/>
          <w:sz w:val="18"/>
          <w:szCs w:val="18"/>
        </w:rPr>
        <w:footnoteRef/>
      </w:r>
      <w:r>
        <w:rPr>
          <w:sz w:val="18"/>
          <w:szCs w:val="18"/>
        </w:rPr>
        <w:t xml:space="preserve"> The UK Chief Medical Officers’ Guidelines recommend that each week adults (19-64 years) do: at least 150 minutes moderate intensity activity, 75 minutes’ vigorous activity, or a mixture of both; strengthening activities on two days; reducing extended period of sitting.</w:t>
      </w:r>
    </w:p>
  </w:footnote>
  <w:footnote w:id="4">
    <w:p w14:paraId="682E23F2" w14:textId="77777777" w:rsidR="00F21187" w:rsidRDefault="00F21187" w:rsidP="00F21187">
      <w:pPr>
        <w:pStyle w:val="FootnoteText"/>
        <w:rPr>
          <w:sz w:val="18"/>
          <w:szCs w:val="18"/>
        </w:rPr>
      </w:pPr>
      <w:r>
        <w:rPr>
          <w:rStyle w:val="FootnoteReference"/>
          <w:sz w:val="18"/>
          <w:szCs w:val="18"/>
        </w:rPr>
        <w:footnoteRef/>
      </w:r>
      <w:r>
        <w:rPr>
          <w:sz w:val="18"/>
          <w:szCs w:val="18"/>
        </w:rPr>
        <w:t xml:space="preserve"> Defined as a condition or illness that has lasted or is expected to last a year or more.</w:t>
      </w:r>
    </w:p>
  </w:footnote>
  <w:footnote w:id="5">
    <w:p w14:paraId="4D25DC9F" w14:textId="77777777" w:rsidR="00F21187" w:rsidRDefault="00F21187" w:rsidP="00F21187">
      <w:pPr>
        <w:pStyle w:val="FootnoteText"/>
        <w:rPr>
          <w:sz w:val="18"/>
          <w:szCs w:val="18"/>
        </w:rPr>
      </w:pPr>
      <w:r>
        <w:rPr>
          <w:rStyle w:val="FootnoteReference"/>
          <w:sz w:val="18"/>
          <w:szCs w:val="18"/>
        </w:rPr>
        <w:footnoteRef/>
      </w:r>
      <w:r>
        <w:rPr>
          <w:sz w:val="18"/>
          <w:szCs w:val="18"/>
        </w:rPr>
        <w:t xml:space="preserve"> Defined as a condition or illness that has lasted or is expected to last a year or more.</w:t>
      </w:r>
      <w:r>
        <w:rPr>
          <w:sz w:val="16"/>
          <w:szCs w:val="16"/>
        </w:rPr>
        <w:t xml:space="preserve">                         *</w:t>
      </w:r>
      <w:r>
        <w:rPr>
          <w:sz w:val="16"/>
          <w:szCs w:val="16"/>
        </w:rPr>
        <w:t>age-standardised</w:t>
      </w:r>
    </w:p>
  </w:footnote>
  <w:footnote w:id="6">
    <w:p w14:paraId="408D9435" w14:textId="77777777" w:rsidR="00F21187" w:rsidRDefault="00F21187" w:rsidP="00F21187">
      <w:pPr>
        <w:pStyle w:val="FootnoteText"/>
        <w:rPr>
          <w:sz w:val="18"/>
          <w:szCs w:val="14"/>
        </w:rPr>
      </w:pPr>
      <w:r>
        <w:rPr>
          <w:rStyle w:val="FootnoteReference"/>
        </w:rPr>
        <w:footnoteRef/>
      </w:r>
      <w:r>
        <w:t xml:space="preserve"> </w:t>
      </w:r>
      <w:r>
        <w:rPr>
          <w:sz w:val="18"/>
          <w:szCs w:val="18"/>
        </w:rPr>
        <w:t>Based on a list of conditions deemed likely to be chronic (defined as having significant impact over at least the most recent year) and with significant impact on patients in terms of need for chronic treatment, reduced function, reduced quality</w:t>
      </w:r>
      <w:r>
        <w:rPr>
          <w:sz w:val="18"/>
          <w:szCs w:val="14"/>
        </w:rPr>
        <w:t xml:space="preserve"> of life, and risk of future morbidity and mortality.</w:t>
      </w:r>
    </w:p>
  </w:footnote>
  <w:footnote w:id="7">
    <w:p w14:paraId="127B83EF" w14:textId="77777777" w:rsidR="00F21187" w:rsidRDefault="00F21187" w:rsidP="00F21187">
      <w:pPr>
        <w:pStyle w:val="FootnoteText"/>
      </w:pPr>
      <w:r>
        <w:rPr>
          <w:rStyle w:val="FootnoteReference"/>
        </w:rPr>
        <w:footnoteRef/>
      </w:r>
      <w:r>
        <w:t xml:space="preserve"> </w:t>
      </w:r>
      <w:r>
        <w:rPr>
          <w:sz w:val="18"/>
          <w:szCs w:val="18"/>
        </w:rPr>
        <w:t>Measured as father’s social class at birth (professional, managerial and technical, skilled non-manual/manual, partly skilled, unskilled).</w:t>
      </w:r>
      <w:r>
        <w:rPr>
          <w:sz w:val="20"/>
          <w:szCs w:val="16"/>
        </w:rPr>
        <w:t xml:space="preserve"> </w:t>
      </w:r>
    </w:p>
  </w:footnote>
  <w:footnote w:id="8">
    <w:p w14:paraId="278110A9" w14:textId="77777777" w:rsidR="00F21187" w:rsidRDefault="00F21187" w:rsidP="00F21187">
      <w:pPr>
        <w:pStyle w:val="FootnoteText"/>
      </w:pPr>
      <w:r>
        <w:rPr>
          <w:rStyle w:val="FootnoteReference"/>
        </w:rPr>
        <w:footnoteRef/>
      </w:r>
      <w:r>
        <w:t xml:space="preserve"> </w:t>
      </w:r>
      <w:r>
        <w:rPr>
          <w:sz w:val="18"/>
          <w:szCs w:val="18"/>
        </w:rPr>
        <w:t>Defined as a condition that has lasted or is expected to last a year or more.</w:t>
      </w:r>
    </w:p>
  </w:footnote>
  <w:footnote w:id="9">
    <w:p w14:paraId="1D68FD03" w14:textId="77777777" w:rsidR="00F21187" w:rsidRDefault="00F21187" w:rsidP="00F21187">
      <w:pPr>
        <w:pStyle w:val="FootnoteText"/>
      </w:pPr>
      <w:r>
        <w:rPr>
          <w:rStyle w:val="FootnoteReference"/>
        </w:rPr>
        <w:footnoteRef/>
      </w:r>
      <w:r>
        <w:t xml:space="preserve"> </w:t>
      </w:r>
      <w:r>
        <w:rPr>
          <w:rFonts w:cs="Arial"/>
          <w:sz w:val="20"/>
        </w:rPr>
        <w:t>This includes direct costs (NHS healthcare and other medical costs (</w:t>
      </w:r>
      <w:r>
        <w:rPr>
          <w:rFonts w:cs="Arial"/>
          <w:sz w:val="20"/>
        </w:rPr>
        <w:t>ie prescriptions, home care).</w:t>
      </w:r>
    </w:p>
  </w:footnote>
  <w:footnote w:id="10">
    <w:p w14:paraId="5FBF18DB" w14:textId="77777777" w:rsidR="00F21187" w:rsidRDefault="00F21187" w:rsidP="00F21187">
      <w:pPr>
        <w:rPr>
          <w:rFonts w:cs="Arial"/>
          <w:sz w:val="20"/>
          <w:szCs w:val="20"/>
        </w:rPr>
      </w:pPr>
      <w:r>
        <w:rPr>
          <w:rStyle w:val="FootnoteReference"/>
        </w:rPr>
        <w:footnoteRef/>
      </w:r>
      <w:r>
        <w:t xml:space="preserve"> </w:t>
      </w:r>
      <w:r>
        <w:rPr>
          <w:rFonts w:cs="Arial"/>
          <w:sz w:val="20"/>
          <w:szCs w:val="20"/>
        </w:rPr>
        <w:t>This includes direct costs (NHS healthcare and other medical costs (</w:t>
      </w:r>
      <w:r>
        <w:rPr>
          <w:rFonts w:cs="Arial"/>
          <w:sz w:val="20"/>
          <w:szCs w:val="20"/>
        </w:rPr>
        <w:t>ie prescriptions, home care).</w:t>
      </w:r>
    </w:p>
    <w:p w14:paraId="41296F50" w14:textId="77777777" w:rsidR="00F21187" w:rsidRDefault="00F21187" w:rsidP="00F211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534F7"/>
    <w:multiLevelType w:val="hybridMultilevel"/>
    <w:tmpl w:val="13562842"/>
    <w:lvl w:ilvl="0" w:tplc="D1FA1A70">
      <w:start w:val="1"/>
      <w:numFmt w:val="decimal"/>
      <w:pStyle w:val="NumberedStyle"/>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C60C5E"/>
    <w:multiLevelType w:val="hybridMultilevel"/>
    <w:tmpl w:val="3F1C8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E16723"/>
    <w:multiLevelType w:val="hybridMultilevel"/>
    <w:tmpl w:val="CAEC3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6643B"/>
    <w:multiLevelType w:val="hybridMultilevel"/>
    <w:tmpl w:val="FA485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225A42"/>
    <w:multiLevelType w:val="hybridMultilevel"/>
    <w:tmpl w:val="C136C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FB46EF"/>
    <w:multiLevelType w:val="hybridMultilevel"/>
    <w:tmpl w:val="0BE46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ED27AD"/>
    <w:multiLevelType w:val="hybridMultilevel"/>
    <w:tmpl w:val="BEC4D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7761BA"/>
    <w:multiLevelType w:val="hybridMultilevel"/>
    <w:tmpl w:val="D304E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7614C4"/>
    <w:multiLevelType w:val="hybridMultilevel"/>
    <w:tmpl w:val="953C8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F2AC2"/>
    <w:multiLevelType w:val="hybridMultilevel"/>
    <w:tmpl w:val="225A4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B05EFA"/>
    <w:multiLevelType w:val="hybridMultilevel"/>
    <w:tmpl w:val="CDD87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E531FD"/>
    <w:multiLevelType w:val="hybridMultilevel"/>
    <w:tmpl w:val="E9E6E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num>
  <w:num w:numId="7">
    <w:abstractNumId w:val="10"/>
  </w:num>
  <w:num w:numId="8">
    <w:abstractNumId w:val="10"/>
  </w:num>
  <w:num w:numId="9">
    <w:abstractNumId w:val="11"/>
  </w:num>
  <w:num w:numId="10">
    <w:abstractNumId w:val="11"/>
  </w:num>
  <w:num w:numId="11">
    <w:abstractNumId w:val="9"/>
  </w:num>
  <w:num w:numId="12">
    <w:abstractNumId w:val="9"/>
  </w:num>
  <w:num w:numId="13">
    <w:abstractNumId w:val="8"/>
  </w:num>
  <w:num w:numId="14">
    <w:abstractNumId w:val="8"/>
  </w:num>
  <w:num w:numId="15">
    <w:abstractNumId w:val="6"/>
  </w:num>
  <w:num w:numId="16">
    <w:abstractNumId w:val="6"/>
  </w:num>
  <w:num w:numId="17">
    <w:abstractNumId w:val="2"/>
  </w:num>
  <w:num w:numId="18">
    <w:abstractNumId w:val="2"/>
  </w:num>
  <w:num w:numId="19">
    <w:abstractNumId w:val="7"/>
  </w:num>
  <w:num w:numId="20">
    <w:abstractNumId w:val="7"/>
  </w:num>
  <w:num w:numId="21">
    <w:abstractNumId w:val="5"/>
  </w:num>
  <w:num w:numId="22">
    <w:abstractNumId w:val="5"/>
  </w:num>
  <w:num w:numId="23">
    <w:abstractNumId w:val="4"/>
  </w:num>
  <w:num w:numId="24">
    <w:abstractNumId w:val="4"/>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87"/>
    <w:rsid w:val="006043B5"/>
    <w:rsid w:val="00640A46"/>
    <w:rsid w:val="00F2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7B1F"/>
  <w15:chartTrackingRefBased/>
  <w15:docId w15:val="{08AF65C2-8939-4BD7-A76D-C036FE5E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21187"/>
    <w:pPr>
      <w:spacing w:line="256" w:lineRule="auto"/>
    </w:pPr>
    <w:rPr>
      <w:rFonts w:ascii="Arial" w:eastAsiaTheme="minorEastAsia" w:hAnsi="Arial"/>
      <w:sz w:val="24"/>
      <w:lang w:eastAsia="ja-JP"/>
    </w:rPr>
  </w:style>
  <w:style w:type="paragraph" w:styleId="Heading1">
    <w:name w:val="heading 1"/>
    <w:basedOn w:val="Normal"/>
    <w:next w:val="Normal"/>
    <w:link w:val="Heading1Char"/>
    <w:uiPriority w:val="9"/>
    <w:qFormat/>
    <w:rsid w:val="00F21187"/>
    <w:pPr>
      <w:spacing w:before="480" w:after="120" w:line="276" w:lineRule="auto"/>
      <w:outlineLvl w:val="0"/>
    </w:pPr>
    <w:rPr>
      <w:rFonts w:eastAsia="Times New Roman" w:cs="Arial"/>
      <w:b/>
      <w:color w:val="37A53C"/>
      <w:sz w:val="28"/>
      <w:szCs w:val="28"/>
    </w:rPr>
  </w:style>
  <w:style w:type="paragraph" w:styleId="Heading2">
    <w:name w:val="heading 2"/>
    <w:basedOn w:val="Heading1"/>
    <w:next w:val="Normal"/>
    <w:link w:val="Heading2Char"/>
    <w:uiPriority w:val="9"/>
    <w:semiHidden/>
    <w:unhideWhenUsed/>
    <w:qFormat/>
    <w:rsid w:val="00F21187"/>
    <w:pPr>
      <w:outlineLvl w:val="1"/>
    </w:pPr>
    <w:rPr>
      <w:color w:val="EB64A0"/>
    </w:rPr>
  </w:style>
  <w:style w:type="paragraph" w:styleId="Heading3">
    <w:name w:val="heading 3"/>
    <w:basedOn w:val="Normal"/>
    <w:next w:val="Normal"/>
    <w:link w:val="Heading3Char"/>
    <w:uiPriority w:val="9"/>
    <w:semiHidden/>
    <w:unhideWhenUsed/>
    <w:qFormat/>
    <w:rsid w:val="00F21187"/>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21187"/>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21187"/>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21187"/>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211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1187"/>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2118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87"/>
    <w:rPr>
      <w:rFonts w:ascii="Arial" w:eastAsia="Times New Roman" w:hAnsi="Arial" w:cs="Arial"/>
      <w:b/>
      <w:color w:val="37A53C"/>
      <w:sz w:val="28"/>
      <w:szCs w:val="28"/>
      <w:lang w:eastAsia="ja-JP"/>
    </w:rPr>
  </w:style>
  <w:style w:type="character" w:customStyle="1" w:styleId="Heading2Char">
    <w:name w:val="Heading 2 Char"/>
    <w:basedOn w:val="DefaultParagraphFont"/>
    <w:link w:val="Heading2"/>
    <w:uiPriority w:val="9"/>
    <w:semiHidden/>
    <w:rsid w:val="00F21187"/>
    <w:rPr>
      <w:rFonts w:ascii="Arial" w:eastAsia="Times New Roman" w:hAnsi="Arial" w:cs="Arial"/>
      <w:b/>
      <w:color w:val="EB64A0"/>
      <w:sz w:val="28"/>
      <w:szCs w:val="28"/>
      <w:lang w:eastAsia="ja-JP"/>
    </w:rPr>
  </w:style>
  <w:style w:type="character" w:customStyle="1" w:styleId="Heading3Char">
    <w:name w:val="Heading 3 Char"/>
    <w:basedOn w:val="DefaultParagraphFont"/>
    <w:link w:val="Heading3"/>
    <w:uiPriority w:val="9"/>
    <w:semiHidden/>
    <w:rsid w:val="00F21187"/>
    <w:rPr>
      <w:rFonts w:asciiTheme="majorHAnsi" w:eastAsiaTheme="majorEastAsia" w:hAnsiTheme="majorHAnsi" w:cstheme="majorBidi"/>
      <w:b/>
      <w:bCs/>
      <w:sz w:val="24"/>
      <w:lang w:eastAsia="ja-JP"/>
    </w:rPr>
  </w:style>
  <w:style w:type="character" w:customStyle="1" w:styleId="Heading4Char">
    <w:name w:val="Heading 4 Char"/>
    <w:basedOn w:val="DefaultParagraphFont"/>
    <w:link w:val="Heading4"/>
    <w:uiPriority w:val="9"/>
    <w:semiHidden/>
    <w:rsid w:val="00F21187"/>
    <w:rPr>
      <w:rFonts w:asciiTheme="majorHAnsi" w:eastAsiaTheme="majorEastAsia" w:hAnsiTheme="majorHAnsi" w:cstheme="majorBidi"/>
      <w:b/>
      <w:bCs/>
      <w:i/>
      <w:iCs/>
      <w:sz w:val="24"/>
      <w:lang w:eastAsia="ja-JP"/>
    </w:rPr>
  </w:style>
  <w:style w:type="character" w:customStyle="1" w:styleId="Heading5Char">
    <w:name w:val="Heading 5 Char"/>
    <w:basedOn w:val="DefaultParagraphFont"/>
    <w:link w:val="Heading5"/>
    <w:uiPriority w:val="9"/>
    <w:semiHidden/>
    <w:rsid w:val="00F21187"/>
    <w:rPr>
      <w:rFonts w:asciiTheme="majorHAnsi" w:eastAsiaTheme="majorEastAsia" w:hAnsiTheme="majorHAnsi" w:cstheme="majorBidi"/>
      <w:color w:val="404040" w:themeColor="text1" w:themeTint="BF"/>
      <w:sz w:val="24"/>
      <w:lang w:eastAsia="ja-JP"/>
    </w:rPr>
  </w:style>
  <w:style w:type="character" w:customStyle="1" w:styleId="Heading6Char">
    <w:name w:val="Heading 6 Char"/>
    <w:basedOn w:val="DefaultParagraphFont"/>
    <w:link w:val="Heading6"/>
    <w:uiPriority w:val="9"/>
    <w:semiHidden/>
    <w:rsid w:val="00F21187"/>
    <w:rPr>
      <w:rFonts w:asciiTheme="majorHAnsi" w:eastAsiaTheme="majorEastAsia" w:hAnsiTheme="majorHAnsi" w:cstheme="majorBidi"/>
      <w:i/>
      <w:iCs/>
      <w:color w:val="404040" w:themeColor="text1" w:themeTint="BF"/>
      <w:sz w:val="24"/>
      <w:lang w:eastAsia="ja-JP"/>
    </w:rPr>
  </w:style>
  <w:style w:type="character" w:customStyle="1" w:styleId="Heading7Char">
    <w:name w:val="Heading 7 Char"/>
    <w:basedOn w:val="DefaultParagraphFont"/>
    <w:link w:val="Heading7"/>
    <w:uiPriority w:val="9"/>
    <w:semiHidden/>
    <w:rsid w:val="00F21187"/>
    <w:rPr>
      <w:rFonts w:asciiTheme="majorHAnsi" w:eastAsiaTheme="majorEastAsia" w:hAnsiTheme="majorHAnsi" w:cstheme="majorBidi"/>
      <w:i/>
      <w:iCs/>
      <w:color w:val="404040" w:themeColor="text1" w:themeTint="BF"/>
      <w:sz w:val="24"/>
      <w:lang w:eastAsia="ja-JP"/>
    </w:rPr>
  </w:style>
  <w:style w:type="character" w:customStyle="1" w:styleId="Heading8Char">
    <w:name w:val="Heading 8 Char"/>
    <w:basedOn w:val="DefaultParagraphFont"/>
    <w:link w:val="Heading8"/>
    <w:uiPriority w:val="9"/>
    <w:semiHidden/>
    <w:rsid w:val="00F21187"/>
    <w:rPr>
      <w:rFonts w:asciiTheme="majorHAnsi" w:eastAsiaTheme="majorEastAsia" w:hAnsiTheme="majorHAnsi" w:cstheme="majorBidi"/>
      <w:color w:val="404040" w:themeColor="text1" w:themeTint="BF"/>
      <w:sz w:val="24"/>
      <w:szCs w:val="20"/>
      <w:lang w:eastAsia="ja-JP"/>
    </w:rPr>
  </w:style>
  <w:style w:type="character" w:customStyle="1" w:styleId="Heading9Char">
    <w:name w:val="Heading 9 Char"/>
    <w:basedOn w:val="DefaultParagraphFont"/>
    <w:link w:val="Heading9"/>
    <w:uiPriority w:val="9"/>
    <w:semiHidden/>
    <w:rsid w:val="00F21187"/>
    <w:rPr>
      <w:rFonts w:asciiTheme="majorHAnsi" w:eastAsiaTheme="majorEastAsia" w:hAnsiTheme="majorHAnsi" w:cstheme="majorBidi"/>
      <w:i/>
      <w:iCs/>
      <w:color w:val="404040" w:themeColor="text1" w:themeTint="BF"/>
      <w:sz w:val="24"/>
      <w:szCs w:val="20"/>
      <w:lang w:eastAsia="ja-JP"/>
    </w:rPr>
  </w:style>
  <w:style w:type="character" w:styleId="Hyperlink">
    <w:name w:val="Hyperlink"/>
    <w:basedOn w:val="DefaultParagraphFont"/>
    <w:uiPriority w:val="99"/>
    <w:unhideWhenUsed/>
    <w:rsid w:val="00F21187"/>
    <w:rPr>
      <w:color w:val="0563C1"/>
      <w:u w:val="single"/>
    </w:rPr>
  </w:style>
  <w:style w:type="character" w:styleId="FollowedHyperlink">
    <w:name w:val="FollowedHyperlink"/>
    <w:basedOn w:val="DefaultParagraphFont"/>
    <w:uiPriority w:val="99"/>
    <w:semiHidden/>
    <w:unhideWhenUsed/>
    <w:rsid w:val="00F21187"/>
    <w:rPr>
      <w:color w:val="954F72"/>
      <w:u w:val="single"/>
    </w:rPr>
  </w:style>
  <w:style w:type="character" w:styleId="HTMLCode">
    <w:name w:val="HTML Code"/>
    <w:basedOn w:val="DefaultParagraphFont"/>
    <w:uiPriority w:val="99"/>
    <w:semiHidden/>
    <w:unhideWhenUsed/>
    <w:rsid w:val="00F21187"/>
    <w:rPr>
      <w:rFonts w:ascii="Consolas" w:eastAsia="Times New Roman" w:hAnsi="Consolas" w:cs="Times New Roman" w:hint="default"/>
      <w:sz w:val="22"/>
      <w:szCs w:val="20"/>
    </w:rPr>
  </w:style>
  <w:style w:type="character" w:styleId="HTMLKeyboard">
    <w:name w:val="HTML Keyboard"/>
    <w:basedOn w:val="DefaultParagraphFont"/>
    <w:uiPriority w:val="99"/>
    <w:semiHidden/>
    <w:unhideWhenUsed/>
    <w:rsid w:val="00F21187"/>
    <w:rPr>
      <w:rFonts w:ascii="Consolas" w:eastAsia="Times New Roman" w:hAnsi="Consolas" w:cs="Times New Roman" w:hint="default"/>
      <w:sz w:val="22"/>
      <w:szCs w:val="20"/>
    </w:rPr>
  </w:style>
  <w:style w:type="paragraph" w:styleId="HTMLPreformatted">
    <w:name w:val="HTML Preformatted"/>
    <w:basedOn w:val="Normal"/>
    <w:link w:val="HTMLPreformattedChar"/>
    <w:uiPriority w:val="99"/>
    <w:semiHidden/>
    <w:unhideWhenUsed/>
    <w:rsid w:val="00F2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21187"/>
    <w:rPr>
      <w:rFonts w:ascii="Consolas" w:eastAsiaTheme="minorEastAsia" w:hAnsi="Consolas"/>
      <w:sz w:val="24"/>
      <w:szCs w:val="20"/>
      <w:lang w:eastAsia="ja-JP"/>
    </w:rPr>
  </w:style>
  <w:style w:type="character" w:styleId="HTMLTypewriter">
    <w:name w:val="HTML Typewriter"/>
    <w:basedOn w:val="DefaultParagraphFont"/>
    <w:uiPriority w:val="99"/>
    <w:semiHidden/>
    <w:unhideWhenUsed/>
    <w:rsid w:val="00F21187"/>
    <w:rPr>
      <w:rFonts w:ascii="Consolas" w:eastAsia="Times New Roman" w:hAnsi="Consolas" w:cs="Times New Roman" w:hint="default"/>
      <w:sz w:val="22"/>
      <w:szCs w:val="20"/>
    </w:rPr>
  </w:style>
  <w:style w:type="paragraph" w:customStyle="1" w:styleId="msonormal0">
    <w:name w:val="msonormal"/>
    <w:basedOn w:val="Normal"/>
    <w:rsid w:val="00F2118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1">
    <w:name w:val="toc 1"/>
    <w:basedOn w:val="Normal"/>
    <w:next w:val="Normal"/>
    <w:autoRedefine/>
    <w:uiPriority w:val="39"/>
    <w:semiHidden/>
    <w:unhideWhenUsed/>
    <w:rsid w:val="00F21187"/>
    <w:pPr>
      <w:spacing w:after="100"/>
    </w:pPr>
  </w:style>
  <w:style w:type="paragraph" w:styleId="TOC2">
    <w:name w:val="toc 2"/>
    <w:basedOn w:val="Normal"/>
    <w:next w:val="Normal"/>
    <w:autoRedefine/>
    <w:uiPriority w:val="39"/>
    <w:semiHidden/>
    <w:unhideWhenUsed/>
    <w:rsid w:val="00F21187"/>
    <w:pPr>
      <w:spacing w:after="100"/>
      <w:ind w:left="240"/>
    </w:pPr>
  </w:style>
  <w:style w:type="paragraph" w:styleId="FootnoteText">
    <w:name w:val="footnote text"/>
    <w:basedOn w:val="Normal"/>
    <w:link w:val="FootnoteTextChar"/>
    <w:uiPriority w:val="99"/>
    <w:semiHidden/>
    <w:unhideWhenUsed/>
    <w:rsid w:val="00F21187"/>
    <w:pPr>
      <w:spacing w:after="0" w:line="240" w:lineRule="auto"/>
    </w:pPr>
    <w:rPr>
      <w:szCs w:val="20"/>
    </w:rPr>
  </w:style>
  <w:style w:type="character" w:customStyle="1" w:styleId="FootnoteTextChar">
    <w:name w:val="Footnote Text Char"/>
    <w:basedOn w:val="DefaultParagraphFont"/>
    <w:link w:val="FootnoteText"/>
    <w:uiPriority w:val="99"/>
    <w:semiHidden/>
    <w:rsid w:val="00F21187"/>
    <w:rPr>
      <w:rFonts w:ascii="Arial" w:eastAsiaTheme="minorEastAsia" w:hAnsi="Arial"/>
      <w:sz w:val="24"/>
      <w:szCs w:val="20"/>
      <w:lang w:eastAsia="ja-JP"/>
    </w:rPr>
  </w:style>
  <w:style w:type="paragraph" w:styleId="CommentText">
    <w:name w:val="annotation text"/>
    <w:basedOn w:val="Normal"/>
    <w:link w:val="CommentTextChar"/>
    <w:uiPriority w:val="99"/>
    <w:semiHidden/>
    <w:unhideWhenUsed/>
    <w:rsid w:val="00F21187"/>
    <w:pPr>
      <w:spacing w:line="240" w:lineRule="auto"/>
    </w:pPr>
    <w:rPr>
      <w:szCs w:val="20"/>
    </w:rPr>
  </w:style>
  <w:style w:type="character" w:customStyle="1" w:styleId="CommentTextChar">
    <w:name w:val="Comment Text Char"/>
    <w:basedOn w:val="DefaultParagraphFont"/>
    <w:link w:val="CommentText"/>
    <w:uiPriority w:val="99"/>
    <w:semiHidden/>
    <w:rsid w:val="00F21187"/>
    <w:rPr>
      <w:rFonts w:ascii="Arial" w:eastAsiaTheme="minorEastAsia" w:hAnsi="Arial"/>
      <w:sz w:val="24"/>
      <w:szCs w:val="20"/>
      <w:lang w:eastAsia="ja-JP"/>
    </w:rPr>
  </w:style>
  <w:style w:type="paragraph" w:styleId="Header">
    <w:name w:val="header"/>
    <w:basedOn w:val="Normal"/>
    <w:link w:val="HeaderChar"/>
    <w:uiPriority w:val="99"/>
    <w:semiHidden/>
    <w:unhideWhenUsed/>
    <w:rsid w:val="00F21187"/>
    <w:pPr>
      <w:spacing w:after="0" w:line="240" w:lineRule="auto"/>
    </w:pPr>
  </w:style>
  <w:style w:type="character" w:customStyle="1" w:styleId="HeaderChar">
    <w:name w:val="Header Char"/>
    <w:basedOn w:val="DefaultParagraphFont"/>
    <w:link w:val="Header"/>
    <w:uiPriority w:val="99"/>
    <w:semiHidden/>
    <w:rsid w:val="00F21187"/>
    <w:rPr>
      <w:rFonts w:ascii="Arial" w:eastAsiaTheme="minorEastAsia" w:hAnsi="Arial"/>
      <w:sz w:val="24"/>
      <w:lang w:eastAsia="ja-JP"/>
    </w:rPr>
  </w:style>
  <w:style w:type="paragraph" w:styleId="Footer">
    <w:name w:val="footer"/>
    <w:basedOn w:val="Normal"/>
    <w:link w:val="FooterChar"/>
    <w:uiPriority w:val="99"/>
    <w:semiHidden/>
    <w:unhideWhenUsed/>
    <w:rsid w:val="00F21187"/>
    <w:pPr>
      <w:spacing w:after="0" w:line="240" w:lineRule="auto"/>
    </w:pPr>
  </w:style>
  <w:style w:type="character" w:customStyle="1" w:styleId="FooterChar">
    <w:name w:val="Footer Char"/>
    <w:basedOn w:val="DefaultParagraphFont"/>
    <w:link w:val="Footer"/>
    <w:uiPriority w:val="99"/>
    <w:semiHidden/>
    <w:rsid w:val="00F21187"/>
    <w:rPr>
      <w:rFonts w:ascii="Arial" w:eastAsiaTheme="minorEastAsia" w:hAnsi="Arial"/>
      <w:sz w:val="24"/>
      <w:lang w:eastAsia="ja-JP"/>
    </w:rPr>
  </w:style>
  <w:style w:type="paragraph" w:styleId="Caption">
    <w:name w:val="caption"/>
    <w:basedOn w:val="Normal"/>
    <w:next w:val="Normal"/>
    <w:uiPriority w:val="35"/>
    <w:semiHidden/>
    <w:unhideWhenUsed/>
    <w:qFormat/>
    <w:rsid w:val="00F21187"/>
    <w:pPr>
      <w:spacing w:after="200" w:line="240" w:lineRule="auto"/>
    </w:pPr>
    <w:rPr>
      <w:i/>
      <w:iCs/>
      <w:color w:val="44546A" w:themeColor="text2"/>
      <w:szCs w:val="18"/>
    </w:rPr>
  </w:style>
  <w:style w:type="paragraph" w:styleId="EnvelopeReturn">
    <w:name w:val="envelope return"/>
    <w:basedOn w:val="Normal"/>
    <w:uiPriority w:val="99"/>
    <w:semiHidden/>
    <w:unhideWhenUsed/>
    <w:rsid w:val="00F21187"/>
    <w:pPr>
      <w:spacing w:after="0" w:line="240" w:lineRule="auto"/>
    </w:pPr>
    <w:rPr>
      <w:rFonts w:asciiTheme="majorHAnsi" w:eastAsiaTheme="majorEastAsia" w:hAnsiTheme="majorHAnsi" w:cstheme="majorBidi"/>
      <w:szCs w:val="20"/>
    </w:rPr>
  </w:style>
  <w:style w:type="paragraph" w:styleId="EndnoteText">
    <w:name w:val="endnote text"/>
    <w:basedOn w:val="Normal"/>
    <w:link w:val="EndnoteTextChar"/>
    <w:uiPriority w:val="99"/>
    <w:semiHidden/>
    <w:unhideWhenUsed/>
    <w:rsid w:val="00F21187"/>
    <w:pPr>
      <w:spacing w:after="0" w:line="240" w:lineRule="auto"/>
    </w:pPr>
    <w:rPr>
      <w:szCs w:val="20"/>
    </w:rPr>
  </w:style>
  <w:style w:type="character" w:customStyle="1" w:styleId="EndnoteTextChar">
    <w:name w:val="Endnote Text Char"/>
    <w:basedOn w:val="DefaultParagraphFont"/>
    <w:link w:val="EndnoteText"/>
    <w:uiPriority w:val="99"/>
    <w:semiHidden/>
    <w:rsid w:val="00F21187"/>
    <w:rPr>
      <w:rFonts w:ascii="Arial" w:eastAsiaTheme="minorEastAsia" w:hAnsi="Arial"/>
      <w:sz w:val="24"/>
      <w:szCs w:val="20"/>
      <w:lang w:eastAsia="ja-JP"/>
    </w:rPr>
  </w:style>
  <w:style w:type="paragraph" w:styleId="MacroText">
    <w:name w:val="macro"/>
    <w:link w:val="MacroTextChar"/>
    <w:uiPriority w:val="99"/>
    <w:semiHidden/>
    <w:unhideWhenUsed/>
    <w:rsid w:val="00F21187"/>
    <w:pPr>
      <w:tabs>
        <w:tab w:val="left" w:pos="480"/>
        <w:tab w:val="left" w:pos="960"/>
        <w:tab w:val="left" w:pos="1440"/>
        <w:tab w:val="left" w:pos="1920"/>
        <w:tab w:val="left" w:pos="2400"/>
        <w:tab w:val="left" w:pos="2880"/>
        <w:tab w:val="left" w:pos="3360"/>
        <w:tab w:val="left" w:pos="3840"/>
        <w:tab w:val="left" w:pos="4320"/>
      </w:tabs>
      <w:spacing w:after="0" w:line="256" w:lineRule="auto"/>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F21187"/>
    <w:rPr>
      <w:rFonts w:ascii="Consolas" w:eastAsiaTheme="minorEastAsia" w:hAnsi="Consolas"/>
      <w:szCs w:val="20"/>
      <w:lang w:val="en-US" w:eastAsia="ja-JP"/>
    </w:rPr>
  </w:style>
  <w:style w:type="paragraph" w:styleId="Title">
    <w:name w:val="Title"/>
    <w:basedOn w:val="Normal"/>
    <w:link w:val="TitleChar"/>
    <w:uiPriority w:val="1"/>
    <w:qFormat/>
    <w:rsid w:val="00F21187"/>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F21187"/>
    <w:rPr>
      <w:rFonts w:ascii="Arial" w:eastAsiaTheme="majorEastAsia" w:hAnsi="Arial" w:cs="Arial"/>
      <w:b/>
      <w:noProof/>
      <w:color w:val="000000" w:themeColor="text1"/>
      <w:sz w:val="48"/>
      <w:szCs w:val="48"/>
      <w:lang w:eastAsia="ja-JP"/>
    </w:rPr>
  </w:style>
  <w:style w:type="paragraph" w:styleId="BodyText3">
    <w:name w:val="Body Text 3"/>
    <w:basedOn w:val="Normal"/>
    <w:link w:val="BodyText3Char"/>
    <w:uiPriority w:val="99"/>
    <w:semiHidden/>
    <w:unhideWhenUsed/>
    <w:rsid w:val="00F21187"/>
    <w:pPr>
      <w:spacing w:after="120"/>
    </w:pPr>
    <w:rPr>
      <w:szCs w:val="16"/>
    </w:rPr>
  </w:style>
  <w:style w:type="character" w:customStyle="1" w:styleId="BodyText3Char">
    <w:name w:val="Body Text 3 Char"/>
    <w:basedOn w:val="DefaultParagraphFont"/>
    <w:link w:val="BodyText3"/>
    <w:uiPriority w:val="99"/>
    <w:semiHidden/>
    <w:rsid w:val="00F21187"/>
    <w:rPr>
      <w:rFonts w:ascii="Arial" w:eastAsiaTheme="minorEastAsia" w:hAnsi="Arial"/>
      <w:sz w:val="24"/>
      <w:szCs w:val="16"/>
      <w:lang w:eastAsia="ja-JP"/>
    </w:rPr>
  </w:style>
  <w:style w:type="paragraph" w:styleId="BodyTextIndent3">
    <w:name w:val="Body Text Indent 3"/>
    <w:basedOn w:val="Normal"/>
    <w:link w:val="BodyTextIndent3Char"/>
    <w:uiPriority w:val="99"/>
    <w:semiHidden/>
    <w:unhideWhenUsed/>
    <w:rsid w:val="00F21187"/>
    <w:pPr>
      <w:spacing w:after="120"/>
      <w:ind w:left="360"/>
    </w:pPr>
    <w:rPr>
      <w:szCs w:val="16"/>
    </w:rPr>
  </w:style>
  <w:style w:type="character" w:customStyle="1" w:styleId="BodyTextIndent3Char">
    <w:name w:val="Body Text Indent 3 Char"/>
    <w:basedOn w:val="DefaultParagraphFont"/>
    <w:link w:val="BodyTextIndent3"/>
    <w:uiPriority w:val="99"/>
    <w:semiHidden/>
    <w:rsid w:val="00F21187"/>
    <w:rPr>
      <w:rFonts w:ascii="Arial" w:eastAsiaTheme="minorEastAsia" w:hAnsi="Arial"/>
      <w:sz w:val="24"/>
      <w:szCs w:val="16"/>
      <w:lang w:eastAsia="ja-JP"/>
    </w:rPr>
  </w:style>
  <w:style w:type="paragraph" w:styleId="BlockText">
    <w:name w:val="Block Text"/>
    <w:basedOn w:val="Normal"/>
    <w:uiPriority w:val="99"/>
    <w:semiHidden/>
    <w:unhideWhenUsed/>
    <w:rsid w:val="00F21187"/>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pPr>
    <w:rPr>
      <w:i/>
      <w:iCs/>
      <w:color w:val="1F3864" w:themeColor="accent1" w:themeShade="80"/>
    </w:rPr>
  </w:style>
  <w:style w:type="paragraph" w:styleId="DocumentMap">
    <w:name w:val="Document Map"/>
    <w:basedOn w:val="Normal"/>
    <w:link w:val="DocumentMapChar"/>
    <w:uiPriority w:val="99"/>
    <w:semiHidden/>
    <w:unhideWhenUsed/>
    <w:rsid w:val="00F2118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21187"/>
    <w:rPr>
      <w:rFonts w:ascii="Segoe UI" w:eastAsiaTheme="minorEastAsia" w:hAnsi="Segoe UI" w:cs="Segoe UI"/>
      <w:sz w:val="24"/>
      <w:szCs w:val="16"/>
      <w:lang w:eastAsia="ja-JP"/>
    </w:rPr>
  </w:style>
  <w:style w:type="paragraph" w:styleId="PlainText">
    <w:name w:val="Plain Text"/>
    <w:basedOn w:val="Normal"/>
    <w:link w:val="PlainTextChar"/>
    <w:uiPriority w:val="99"/>
    <w:semiHidden/>
    <w:unhideWhenUsed/>
    <w:rsid w:val="00F2118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21187"/>
    <w:rPr>
      <w:rFonts w:ascii="Consolas" w:eastAsiaTheme="minorEastAsia" w:hAnsi="Consolas"/>
      <w:sz w:val="24"/>
      <w:szCs w:val="21"/>
      <w:lang w:eastAsia="ja-JP"/>
    </w:rPr>
  </w:style>
  <w:style w:type="paragraph" w:styleId="CommentSubject">
    <w:name w:val="annotation subject"/>
    <w:basedOn w:val="CommentText"/>
    <w:next w:val="CommentText"/>
    <w:link w:val="CommentSubjectChar"/>
    <w:uiPriority w:val="99"/>
    <w:semiHidden/>
    <w:unhideWhenUsed/>
    <w:rsid w:val="00F21187"/>
    <w:rPr>
      <w:b/>
      <w:bCs/>
    </w:rPr>
  </w:style>
  <w:style w:type="character" w:customStyle="1" w:styleId="CommentSubjectChar">
    <w:name w:val="Comment Subject Char"/>
    <w:basedOn w:val="CommentTextChar"/>
    <w:link w:val="CommentSubject"/>
    <w:uiPriority w:val="99"/>
    <w:semiHidden/>
    <w:rsid w:val="00F21187"/>
    <w:rPr>
      <w:rFonts w:ascii="Arial" w:eastAsiaTheme="minorEastAsia" w:hAnsi="Arial"/>
      <w:b/>
      <w:bCs/>
      <w:sz w:val="24"/>
      <w:szCs w:val="20"/>
      <w:lang w:eastAsia="ja-JP"/>
    </w:rPr>
  </w:style>
  <w:style w:type="paragraph" w:styleId="BalloonText">
    <w:name w:val="Balloon Text"/>
    <w:basedOn w:val="Normal"/>
    <w:link w:val="BalloonTextChar"/>
    <w:uiPriority w:val="99"/>
    <w:semiHidden/>
    <w:unhideWhenUsed/>
    <w:rsid w:val="00F211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21187"/>
    <w:rPr>
      <w:rFonts w:ascii="Segoe UI" w:eastAsiaTheme="minorEastAsia" w:hAnsi="Segoe UI" w:cs="Segoe UI"/>
      <w:sz w:val="24"/>
      <w:szCs w:val="18"/>
      <w:lang w:eastAsia="ja-JP"/>
    </w:rPr>
  </w:style>
  <w:style w:type="character" w:customStyle="1" w:styleId="ListParagraphChar">
    <w:name w:val="List Paragraph Char"/>
    <w:aliases w:val="Bullet Style Char"/>
    <w:basedOn w:val="DefaultParagraphFont"/>
    <w:link w:val="ListParagraph"/>
    <w:uiPriority w:val="34"/>
    <w:locked/>
    <w:rsid w:val="00F21187"/>
    <w:rPr>
      <w:rFonts w:ascii="Arial" w:hAnsi="Arial" w:cs="Arial"/>
      <w:color w:val="000000" w:themeColor="text1"/>
      <w:sz w:val="24"/>
    </w:rPr>
  </w:style>
  <w:style w:type="paragraph" w:styleId="ListParagraph">
    <w:name w:val="List Paragraph"/>
    <w:aliases w:val="Bullet Style"/>
    <w:basedOn w:val="Normal"/>
    <w:link w:val="ListParagraphChar"/>
    <w:uiPriority w:val="34"/>
    <w:qFormat/>
    <w:rsid w:val="00F21187"/>
    <w:pPr>
      <w:numPr>
        <w:numId w:val="1"/>
      </w:numPr>
      <w:spacing w:line="276" w:lineRule="auto"/>
      <w:contextualSpacing/>
    </w:pPr>
    <w:rPr>
      <w:rFonts w:eastAsiaTheme="minorHAnsi" w:cs="Arial"/>
      <w:color w:val="000000" w:themeColor="text1"/>
      <w:lang w:eastAsia="en-US"/>
    </w:rPr>
  </w:style>
  <w:style w:type="paragraph" w:styleId="IntenseQuote">
    <w:name w:val="Intense Quote"/>
    <w:basedOn w:val="Normal"/>
    <w:next w:val="Normal"/>
    <w:link w:val="IntenseQuoteChar"/>
    <w:uiPriority w:val="30"/>
    <w:qFormat/>
    <w:rsid w:val="00F2118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21187"/>
    <w:rPr>
      <w:rFonts w:ascii="Arial" w:eastAsiaTheme="minorEastAsia" w:hAnsi="Arial"/>
      <w:i/>
      <w:iCs/>
      <w:color w:val="2F5496" w:themeColor="accent1" w:themeShade="BF"/>
      <w:sz w:val="24"/>
      <w:lang w:eastAsia="ja-JP"/>
    </w:rPr>
  </w:style>
  <w:style w:type="paragraph" w:styleId="TOCHeading">
    <w:name w:val="TOC Heading"/>
    <w:basedOn w:val="Heading1"/>
    <w:next w:val="Normal"/>
    <w:uiPriority w:val="39"/>
    <w:semiHidden/>
    <w:unhideWhenUsed/>
    <w:qFormat/>
    <w:rsid w:val="00F21187"/>
    <w:pPr>
      <w:outlineLvl w:val="9"/>
    </w:pPr>
    <w:rPr>
      <w:rFonts w:eastAsiaTheme="minorEastAsia"/>
    </w:rPr>
  </w:style>
  <w:style w:type="character" w:customStyle="1" w:styleId="NumberedStyleChar">
    <w:name w:val="Numbered Style Char"/>
    <w:basedOn w:val="ListParagraphChar"/>
    <w:link w:val="NumberedStyle"/>
    <w:locked/>
    <w:rsid w:val="00F21187"/>
    <w:rPr>
      <w:rFonts w:ascii="Arial" w:hAnsi="Arial" w:cs="Arial"/>
      <w:color w:val="000000" w:themeColor="text1"/>
      <w:sz w:val="24"/>
    </w:rPr>
  </w:style>
  <w:style w:type="paragraph" w:customStyle="1" w:styleId="NumberedStyle">
    <w:name w:val="Numbered Style"/>
    <w:basedOn w:val="ListParagraph"/>
    <w:link w:val="NumberedStyleChar"/>
    <w:qFormat/>
    <w:rsid w:val="00F21187"/>
    <w:pPr>
      <w:numPr>
        <w:numId w:val="3"/>
      </w:numPr>
    </w:pPr>
  </w:style>
  <w:style w:type="character" w:styleId="FootnoteReference">
    <w:name w:val="footnote reference"/>
    <w:basedOn w:val="DefaultParagraphFont"/>
    <w:uiPriority w:val="99"/>
    <w:semiHidden/>
    <w:unhideWhenUsed/>
    <w:rsid w:val="00F21187"/>
    <w:rPr>
      <w:vertAlign w:val="superscript"/>
    </w:rPr>
  </w:style>
  <w:style w:type="character" w:styleId="CommentReference">
    <w:name w:val="annotation reference"/>
    <w:basedOn w:val="DefaultParagraphFont"/>
    <w:uiPriority w:val="99"/>
    <w:semiHidden/>
    <w:unhideWhenUsed/>
    <w:rsid w:val="00F21187"/>
    <w:rPr>
      <w:sz w:val="22"/>
      <w:szCs w:val="16"/>
    </w:rPr>
  </w:style>
  <w:style w:type="character" w:styleId="EndnoteReference">
    <w:name w:val="endnote reference"/>
    <w:aliases w:val="Endnote text"/>
    <w:basedOn w:val="DefaultParagraphFont"/>
    <w:uiPriority w:val="99"/>
    <w:semiHidden/>
    <w:unhideWhenUsed/>
    <w:rsid w:val="00F21187"/>
    <w:rPr>
      <w:vertAlign w:val="superscript"/>
    </w:rPr>
  </w:style>
  <w:style w:type="character" w:styleId="PlaceholderText">
    <w:name w:val="Placeholder Text"/>
    <w:basedOn w:val="DefaultParagraphFont"/>
    <w:uiPriority w:val="99"/>
    <w:semiHidden/>
    <w:rsid w:val="00F21187"/>
    <w:rPr>
      <w:color w:val="595959" w:themeColor="text1" w:themeTint="A6"/>
    </w:rPr>
  </w:style>
  <w:style w:type="character" w:styleId="IntenseEmphasis">
    <w:name w:val="Intense Emphasis"/>
    <w:basedOn w:val="DefaultParagraphFont"/>
    <w:uiPriority w:val="21"/>
    <w:qFormat/>
    <w:rsid w:val="00F21187"/>
    <w:rPr>
      <w:i/>
      <w:iCs/>
      <w:color w:val="2F5496" w:themeColor="accent1" w:themeShade="BF"/>
    </w:rPr>
  </w:style>
  <w:style w:type="character" w:styleId="IntenseReference">
    <w:name w:val="Intense Reference"/>
    <w:basedOn w:val="DefaultParagraphFont"/>
    <w:uiPriority w:val="32"/>
    <w:qFormat/>
    <w:rsid w:val="00F21187"/>
    <w:rPr>
      <w:b/>
      <w:bCs/>
      <w:caps w:val="0"/>
      <w:smallCaps/>
      <w:color w:val="2F5496" w:themeColor="accent1" w:themeShade="BF"/>
      <w:spacing w:val="5"/>
    </w:rPr>
  </w:style>
  <w:style w:type="table" w:styleId="TableGrid">
    <w:name w:val="Table Grid"/>
    <w:basedOn w:val="TableNormal"/>
    <w:uiPriority w:val="39"/>
    <w:rsid w:val="00F21187"/>
    <w:pPr>
      <w:spacing w:after="0" w:line="240" w:lineRule="auto"/>
    </w:pPr>
    <w:rPr>
      <w:rFonts w:ascii="Arial" w:eastAsiaTheme="minorEastAsia" w:hAnsi="Arial"/>
      <w:sz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Arial" w:hint="default"/>
        <w:b/>
        <w:color w:val="FFFFFF" w:themeColor="background1"/>
        <w:sz w:val="24"/>
        <w:szCs w:val="24"/>
      </w:rPr>
      <w:tblPr/>
      <w:tcPr>
        <w:tcBorders>
          <w:top w:val="nil"/>
          <w:left w:val="nil"/>
          <w:bottom w:val="nil"/>
          <w:right w:val="nil"/>
          <w:insideH w:val="nil"/>
          <w:insideV w:val="nil"/>
          <w:tl2br w:val="nil"/>
          <w:tr2bl w:val="nil"/>
        </w:tcBorders>
        <w:shd w:val="clear" w:color="auto" w:fill="7030A0"/>
      </w:tcPr>
    </w:tblStylePr>
  </w:style>
  <w:style w:type="table" w:styleId="PlainTable1">
    <w:name w:val="Plain Table 1"/>
    <w:basedOn w:val="TableNormal"/>
    <w:uiPriority w:val="41"/>
    <w:rsid w:val="00F21187"/>
    <w:pPr>
      <w:spacing w:after="0" w:line="240" w:lineRule="auto"/>
    </w:pPr>
    <w:rPr>
      <w:rFonts w:eastAsiaTheme="minorEastAsia"/>
      <w:lang w:val="en-US" w:eastAsia="ja-JP"/>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21187"/>
    <w:pPr>
      <w:spacing w:after="0" w:line="240" w:lineRule="auto"/>
    </w:pPr>
    <w:rPr>
      <w:rFonts w:eastAsiaTheme="minorEastAsia"/>
      <w:lang w:val="en-US" w:eastAsia="ja-JP"/>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F21187"/>
    <w:pPr>
      <w:spacing w:after="0" w:line="240" w:lineRule="auto"/>
    </w:pPr>
    <w:rPr>
      <w:rFonts w:eastAsiaTheme="minorEastAsia"/>
      <w:lang w:val="en-US" w:eastAsia="ja-JP"/>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F21187"/>
    <w:pPr>
      <w:spacing w:after="0" w:line="240" w:lineRule="auto"/>
    </w:pPr>
    <w:rPr>
      <w:rFonts w:eastAsiaTheme="minorEastAsia"/>
      <w:lang w:val="en-US" w:eastAsia="ja-JP"/>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ArthritisOrange1">
    <w:name w:val="Arthritis_Orange1"/>
    <w:basedOn w:val="TableNormal"/>
    <w:uiPriority w:val="59"/>
    <w:rsid w:val="00F21187"/>
    <w:pPr>
      <w:spacing w:after="0" w:line="260" w:lineRule="exact"/>
    </w:pPr>
    <w:rPr>
      <w:rFonts w:eastAsia="Arial"/>
      <w:color w:val="404545"/>
      <w:sz w:val="23"/>
      <w:lang w:val="en-US"/>
    </w:rPr>
    <w:tblPr>
      <w:tblInd w:w="0" w:type="nil"/>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wordWrap/>
        <w:jc w:val="left"/>
      </w:pPr>
      <w:rPr>
        <w:rFonts w:ascii="Arial" w:hAnsi="Arial" w:cs="Arial" w:hint="default"/>
        <w:b/>
        <w:i w:val="0"/>
        <w:color w:val="FFFFFF"/>
      </w:rPr>
      <w:tblPr/>
      <w:tcPr>
        <w:shd w:val="clear" w:color="auto" w:fill="F55212"/>
        <w:vAlign w:val="center"/>
      </w:tcPr>
    </w:tblStylePr>
  </w:style>
  <w:style w:type="table" w:customStyle="1" w:styleId="ArthritisRed">
    <w:name w:val="Arthritis Red"/>
    <w:basedOn w:val="TableNormal"/>
    <w:uiPriority w:val="99"/>
    <w:rsid w:val="00F21187"/>
    <w:pPr>
      <w:spacing w:after="0" w:line="260" w:lineRule="exact"/>
    </w:pPr>
    <w:rPr>
      <w:rFonts w:eastAsia="Arial"/>
      <w:sz w:val="23"/>
      <w:lang w:val="en-US"/>
    </w:rPr>
    <w:tblPr>
      <w:tblInd w:w="0" w:type="nil"/>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customStyle="1" w:styleId="TableGrid0">
    <w:name w:val="TableGrid"/>
    <w:rsid w:val="00F21187"/>
    <w:pPr>
      <w:spacing w:after="0" w:line="240" w:lineRule="auto"/>
    </w:pPr>
    <w:rPr>
      <w:rFonts w:eastAsiaTheme="minorEastAsia"/>
      <w:lang w:val="en-US" w:eastAsia="ja-JP"/>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2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firman\Downloads\state-of-msk-2021-accessibility-friendly%20(1).docx" TargetMode="External"/><Relationship Id="rId18" Type="http://schemas.openxmlformats.org/officeDocument/2006/relationships/hyperlink" Target="file:///C:\Users\b.firman\Downloads\state-of-msk-2021-accessibility-friendly%20(1).docx" TargetMode="External"/><Relationship Id="rId26" Type="http://schemas.openxmlformats.org/officeDocument/2006/relationships/hyperlink" Target="file:///C:\Users\b.firman\Downloads\state-of-msk-2021-accessibility-friendly%20(1).docx" TargetMode="External"/><Relationship Id="rId39" Type="http://schemas.openxmlformats.org/officeDocument/2006/relationships/hyperlink" Target="https://www.versusarthritis.org/about-arthritis/conditions/juvenile-idiopathic-arthritis/" TargetMode="External"/><Relationship Id="rId21" Type="http://schemas.openxmlformats.org/officeDocument/2006/relationships/hyperlink" Target="file:///C:\Users\b.firman\Downloads\state-of-msk-2021-accessibility-friendly%20(1).docx" TargetMode="External"/><Relationship Id="rId34" Type="http://schemas.openxmlformats.org/officeDocument/2006/relationships/hyperlink" Target="file:///C:\Users\b.firman\Downloads\state-of-msk-2021-accessibility-friendly%20(1).docx" TargetMode="External"/><Relationship Id="rId42" Type="http://schemas.openxmlformats.org/officeDocument/2006/relationships/hyperlink" Target="https://www.versusarthritis.org/about-arthritis/conditions/osteoarthritis/" TargetMode="External"/><Relationship Id="rId47" Type="http://schemas.openxmlformats.org/officeDocument/2006/relationships/hyperlink" Target="https://www.versusarthritis.org/policy/resources-for-policy-makers/musculoskeletal-calculato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b.firman\Downloads\state-of-msk-2021-accessibility-friendly%20(1).docx" TargetMode="External"/><Relationship Id="rId29" Type="http://schemas.openxmlformats.org/officeDocument/2006/relationships/hyperlink" Target="file:///C:\Users\b.firman\Downloads\state-of-msk-2021-accessibility-friendly%20(1).docx" TargetMode="External"/><Relationship Id="rId11" Type="http://schemas.openxmlformats.org/officeDocument/2006/relationships/hyperlink" Target="file:///C:\Users\b.firman\Downloads\state-of-msk-2021-accessibility-friendly%20(1).docx" TargetMode="External"/><Relationship Id="rId24" Type="http://schemas.openxmlformats.org/officeDocument/2006/relationships/hyperlink" Target="file:///C:\Users\b.firman\Downloads\state-of-msk-2021-accessibility-friendly%20(1).docx" TargetMode="External"/><Relationship Id="rId32" Type="http://schemas.openxmlformats.org/officeDocument/2006/relationships/hyperlink" Target="file:///C:\Users\b.firman\Downloads\state-of-msk-2021-accessibility-friendly%20(1).docx" TargetMode="External"/><Relationship Id="rId37" Type="http://schemas.openxmlformats.org/officeDocument/2006/relationships/hyperlink" Target="http://www.versusarthritis.org" TargetMode="External"/><Relationship Id="rId40" Type="http://schemas.openxmlformats.org/officeDocument/2006/relationships/hyperlink" Target="https://www.versusarthritis.org/about-arthritis/conditions/ankylosing-spondylitis/" TargetMode="External"/><Relationship Id="rId45" Type="http://schemas.openxmlformats.org/officeDocument/2006/relationships/hyperlink" Target="https://www.versusarthritis.org/about-arthritis/conditions/osteoporosis/" TargetMode="External"/><Relationship Id="rId5" Type="http://schemas.openxmlformats.org/officeDocument/2006/relationships/webSettings" Target="webSettings.xml"/><Relationship Id="rId15" Type="http://schemas.openxmlformats.org/officeDocument/2006/relationships/hyperlink" Target="file:///C:\Users\b.firman\Downloads\state-of-msk-2021-accessibility-friendly%20(1).docx" TargetMode="External"/><Relationship Id="rId23" Type="http://schemas.openxmlformats.org/officeDocument/2006/relationships/hyperlink" Target="file:///C:\Users\b.firman\Downloads\state-of-msk-2021-accessibility-friendly%20(1).docx" TargetMode="External"/><Relationship Id="rId28" Type="http://schemas.openxmlformats.org/officeDocument/2006/relationships/hyperlink" Target="file:///C:\Users\b.firman\Downloads\state-of-msk-2021-accessibility-friendly%20(1).docx" TargetMode="External"/><Relationship Id="rId36" Type="http://schemas.openxmlformats.org/officeDocument/2006/relationships/hyperlink" Target="https://www.versusarthritis.org/news/" TargetMode="External"/><Relationship Id="rId49" Type="http://schemas.openxmlformats.org/officeDocument/2006/relationships/theme" Target="theme/theme1.xml"/><Relationship Id="rId10" Type="http://schemas.openxmlformats.org/officeDocument/2006/relationships/hyperlink" Target="file:///C:\Users\b.firman\Downloads\state-of-msk-2021-accessibility-friendly%20(1).docx" TargetMode="External"/><Relationship Id="rId19" Type="http://schemas.openxmlformats.org/officeDocument/2006/relationships/hyperlink" Target="file:///C:\Users\b.firman\Downloads\state-of-msk-2021-accessibility-friendly%20(1).docx" TargetMode="External"/><Relationship Id="rId31" Type="http://schemas.openxmlformats.org/officeDocument/2006/relationships/hyperlink" Target="file:///C:\Users\b.firman\Downloads\state-of-msk-2021-accessibility-friendly%20(1).docx" TargetMode="External"/><Relationship Id="rId44" Type="http://schemas.openxmlformats.org/officeDocument/2006/relationships/hyperlink" Target="https://www.versusarthritis.org/about-arthritis/conditions/fibromyalgia/" TargetMode="External"/><Relationship Id="rId4" Type="http://schemas.openxmlformats.org/officeDocument/2006/relationships/settings" Target="settings.xml"/><Relationship Id="rId9" Type="http://schemas.openxmlformats.org/officeDocument/2006/relationships/hyperlink" Target="file:///C:\Users\b.firman\Downloads\state-of-msk-2021-accessibility-friendly%20(1).docx" TargetMode="External"/><Relationship Id="rId14" Type="http://schemas.openxmlformats.org/officeDocument/2006/relationships/hyperlink" Target="file:///C:\Users\b.firman\Downloads\state-of-msk-2021-accessibility-friendly%20(1).docx" TargetMode="External"/><Relationship Id="rId22" Type="http://schemas.openxmlformats.org/officeDocument/2006/relationships/hyperlink" Target="file:///C:\Users\b.firman\Downloads\state-of-msk-2021-accessibility-friendly%20(1).docx" TargetMode="External"/><Relationship Id="rId27" Type="http://schemas.openxmlformats.org/officeDocument/2006/relationships/hyperlink" Target="file:///C:\Users\b.firman\Downloads\state-of-msk-2021-accessibility-friendly%20(1).docx" TargetMode="External"/><Relationship Id="rId30" Type="http://schemas.openxmlformats.org/officeDocument/2006/relationships/hyperlink" Target="file:///C:\Users\b.firman\Downloads\state-of-msk-2021-accessibility-friendly%20(1).docx" TargetMode="External"/><Relationship Id="rId35" Type="http://schemas.openxmlformats.org/officeDocument/2006/relationships/image" Target="media/image1.png"/><Relationship Id="rId43" Type="http://schemas.openxmlformats.org/officeDocument/2006/relationships/hyperlink" Target="https://www.versusarthritis.org/about-arthritis/conditions/back-pain/" TargetMode="External"/><Relationship Id="rId48" Type="http://schemas.openxmlformats.org/officeDocument/2006/relationships/fontTable" Target="fontTable.xml"/><Relationship Id="rId8" Type="http://schemas.openxmlformats.org/officeDocument/2006/relationships/hyperlink" Target="file:///C:\Users\b.firman\Downloads\state-of-msk-2021-accessibility-friendly%20(1).docx" TargetMode="External"/><Relationship Id="rId3" Type="http://schemas.openxmlformats.org/officeDocument/2006/relationships/styles" Target="styles.xml"/><Relationship Id="rId12" Type="http://schemas.openxmlformats.org/officeDocument/2006/relationships/hyperlink" Target="file:///C:\Users\b.firman\Downloads\state-of-msk-2021-accessibility-friendly%20(1).docx" TargetMode="External"/><Relationship Id="rId17" Type="http://schemas.openxmlformats.org/officeDocument/2006/relationships/hyperlink" Target="file:///C:\Users\b.firman\Downloads\state-of-msk-2021-accessibility-friendly%20(1).docx" TargetMode="External"/><Relationship Id="rId25" Type="http://schemas.openxmlformats.org/officeDocument/2006/relationships/hyperlink" Target="file:///C:\Users\b.firman\Downloads\state-of-msk-2021-accessibility-friendly%20(1).docx" TargetMode="External"/><Relationship Id="rId33" Type="http://schemas.openxmlformats.org/officeDocument/2006/relationships/hyperlink" Target="file:///C:\Users\b.firman\Downloads\state-of-msk-2021-accessibility-friendly%20(1).docx" TargetMode="External"/><Relationship Id="rId38" Type="http://schemas.openxmlformats.org/officeDocument/2006/relationships/hyperlink" Target="https://www.versusarthritis.org/about-arthritis/conditions/rheumatoid-arthritis/" TargetMode="External"/><Relationship Id="rId46" Type="http://schemas.openxmlformats.org/officeDocument/2006/relationships/hyperlink" Target="https://www.versusarthritis.org/about-arthritis/data-and-statistics/chronic-pain-in-england/" TargetMode="External"/><Relationship Id="rId20" Type="http://schemas.openxmlformats.org/officeDocument/2006/relationships/hyperlink" Target="file:///C:\Users\b.firman\Downloads\state-of-msk-2021-accessibility-friendly%20(1).docx" TargetMode="External"/><Relationship Id="rId41" Type="http://schemas.openxmlformats.org/officeDocument/2006/relationships/hyperlink" Target="https://www.versusarthritis.org/about-arthritis/conditions/psoriatic-arthriti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www.versusarthritis.org/about-arthritis/data-and-statistics/chronic-pain-in-england/" TargetMode="External"/><Relationship Id="rId18" Type="http://schemas.openxmlformats.org/officeDocument/2006/relationships/hyperlink" Target="https://fingertips.phe.org.uk/profile/msk/data" TargetMode="External"/><Relationship Id="rId26" Type="http://schemas.openxmlformats.org/officeDocument/2006/relationships/hyperlink" Target="https://digital.nhs.uk/data-and-information/publications/statistical/fit-notes-issued-by-gp-practices/march-2020" TargetMode="External"/><Relationship Id="rId21" Type="http://schemas.openxmlformats.org/officeDocument/2006/relationships/hyperlink" Target="https://www.gov.uk/government/publications/health-and-work-infographics" TargetMode="External"/><Relationship Id="rId34" Type="http://schemas.openxmlformats.org/officeDocument/2006/relationships/hyperlink" Target="https://gp-patient.co.uk/surveysandreports2020" TargetMode="External"/><Relationship Id="rId7" Type="http://schemas.openxmlformats.org/officeDocument/2006/relationships/hyperlink" Target="https://www.gpcontract.co.uk/browse/UK/19" TargetMode="External"/><Relationship Id="rId12" Type="http://schemas.openxmlformats.org/officeDocument/2006/relationships/hyperlink" Target="https://www.nice.org.uk/media/default/about/what-we-do/into-practice/measuring-uptake/nice-impact-falls-and-fragility-fractures.pdf" TargetMode="External"/><Relationship Id="rId17" Type="http://schemas.openxmlformats.org/officeDocument/2006/relationships/hyperlink" Target="https://reports.njrcentre.org.uk/" TargetMode="External"/><Relationship Id="rId25" Type="http://schemas.openxmlformats.org/officeDocument/2006/relationships/hyperlink" Target="https://stat-xplore.dwp.gov.uk/webapi/jsf/login.xhtml" TargetMode="External"/><Relationship Id="rId33" Type="http://schemas.openxmlformats.org/officeDocument/2006/relationships/hyperlink" Target="https://view.officeapps.live.com/op/view.aspx?src=https%3A%2F%2Fnhsbsa-opendata.s3.eu-west-2.amazonaws.com%2Fpca%2Fpca_summary_tables_2020_v001.xlsx&amp;wdOrigin=BROWSELINK" TargetMode="External"/><Relationship Id="rId38" Type="http://schemas.openxmlformats.org/officeDocument/2006/relationships/hyperlink" Target="https://www.kingsfund.org.uk/sites/default/files/field/field_publication_file/making-health-care-systems-fit-ageing-population-oliver-foot-humphries-mar14.pdf" TargetMode="External"/><Relationship Id="rId2" Type="http://schemas.openxmlformats.org/officeDocument/2006/relationships/hyperlink" Target="https://fingertips.phe.org.uk/profile/msk/data" TargetMode="External"/><Relationship Id="rId16" Type="http://schemas.openxmlformats.org/officeDocument/2006/relationships/hyperlink" Target="https://www.health-ni.gov.uk/publications/health-survey-northern-ireland-first-results-201920" TargetMode="External"/><Relationship Id="rId20" Type="http://schemas.openxmlformats.org/officeDocument/2006/relationships/hyperlink" Target="https://www.ons.gov.uk/peoplepopulationandcommunity/healthandsocialcare/conditionsanddiseases/adhocs/11478peoplewithlongtermhealthconditionsukjanuarytodecember2019" TargetMode="External"/><Relationship Id="rId29" Type="http://schemas.openxmlformats.org/officeDocument/2006/relationships/hyperlink" Target="https://www.arthro.scot.nhs.uk/Reports/Dashboard-2020.html" TargetMode="External"/><Relationship Id="rId1" Type="http://schemas.openxmlformats.org/officeDocument/2006/relationships/hyperlink" Target="https://www.vox.com/2015/1/5/7482871/types-of-study-design" TargetMode="External"/><Relationship Id="rId6" Type="http://schemas.openxmlformats.org/officeDocument/2006/relationships/hyperlink" Target="https://www.versusarthritis.org/policy/resources-for-policy-makers/musculoskeletal-calculator/" TargetMode="External"/><Relationship Id="rId11" Type="http://schemas.openxmlformats.org/officeDocument/2006/relationships/hyperlink" Target="https://www.versusarthritis.org/policy/resources-for-policy-makers/musculoskeletal-calculator/" TargetMode="External"/><Relationship Id="rId24" Type="http://schemas.openxmlformats.org/officeDocument/2006/relationships/hyperlink" Target="https://www.gov.uk/government/statistics/access-to-work-statistics-april-2007-to-march-2020/access-to-work-statistics-april-2007-to-march-2020" TargetMode="External"/><Relationship Id="rId32" Type="http://schemas.openxmlformats.org/officeDocument/2006/relationships/hyperlink" Target="https://www.publichealthscotland.scot/media/8737/v4_shfa-annual-report-2021_0415.pdf" TargetMode="External"/><Relationship Id="rId37" Type="http://schemas.openxmlformats.org/officeDocument/2006/relationships/hyperlink" Target="https://doi.org/10.1093/rheumatology/keu115.010" TargetMode="External"/><Relationship Id="rId5" Type="http://schemas.openxmlformats.org/officeDocument/2006/relationships/hyperlink" Target="http://healthsurvey.hscic.gov.uk/support-guidance/public-health/health-survey-for-england-2018/longstanding-conditions.aspx" TargetMode="External"/><Relationship Id="rId15" Type="http://schemas.openxmlformats.org/officeDocument/2006/relationships/hyperlink" Target="https://assets.publishing.service.gov.uk/government/uploads/system/uploads/attachment_data/file/721874/MBSBA_evidence_review.pdf" TargetMode="External"/><Relationship Id="rId23" Type="http://schemas.openxmlformats.org/officeDocument/2006/relationships/hyperlink" Target="https://ukhsa.blog.gov.uk/2016/09/14/understanding-the-relationship-between-health-work-and-worklessness/" TargetMode="External"/><Relationship Id="rId28" Type="http://schemas.openxmlformats.org/officeDocument/2006/relationships/hyperlink" Target="https://reports.njrcentre.org.uk/" TargetMode="External"/><Relationship Id="rId36" Type="http://schemas.openxmlformats.org/officeDocument/2006/relationships/hyperlink" Target="http://www.nhsemployers.org/-/media/Employers/Documents/Retain-and-improve/Back-in-Work/Back-in-work-part-1-Introduction-and-key-messages-web-final-25-March.pdf?la=en&amp;hash=EFA3598B5B049291C6F3B0CF9B8AFE34529C5C60m" TargetMode="External"/><Relationship Id="rId10" Type="http://schemas.openxmlformats.org/officeDocument/2006/relationships/hyperlink" Target="https://www.versusarthritis.org/policy/resources-for-policy-makers/musculoskeletal-calculator/" TargetMode="External"/><Relationship Id="rId19" Type="http://schemas.openxmlformats.org/officeDocument/2006/relationships/hyperlink" Target="https://onlinelibrary.wiley.com/doi/10.1002/acr.24008" TargetMode="External"/><Relationship Id="rId31" Type="http://schemas.openxmlformats.org/officeDocument/2006/relationships/hyperlink" Target="https://www.nhfd.co.uk/20/hipfractureR.nsf/docs/2020Report" TargetMode="External"/><Relationship Id="rId4" Type="http://schemas.openxmlformats.org/officeDocument/2006/relationships/hyperlink" Target="https://gov.wales/national-survey-wales-april-2019-march-2020" TargetMode="External"/><Relationship Id="rId9" Type="http://schemas.openxmlformats.org/officeDocument/2006/relationships/hyperlink" Target="https://doi.org/10.1093/rheumatology/kes324" TargetMode="External"/><Relationship Id="rId14" Type="http://schemas.openxmlformats.org/officeDocument/2006/relationships/hyperlink" Target="https://assets.publishing.service.gov.uk/government/uploads/system/uploads/attachment_data/file/216262/dh_133101.pdf" TargetMode="External"/><Relationship Id="rId22" Type="http://schemas.openxmlformats.org/officeDocument/2006/relationships/hyperlink" Target="https://www.ons.gov.uk/employmentandlabourmarket/peopleinwork/labourproductivity/articles/sicknessabsenceinthelabourmarket/2020" TargetMode="External"/><Relationship Id="rId27" Type="http://schemas.openxmlformats.org/officeDocument/2006/relationships/hyperlink" Target="https://digital.nhs.uk/data-and-information/publications/statistical/hospital-admitted-patient-care-activity/2019-20" TargetMode="External"/><Relationship Id="rId30" Type="http://schemas.openxmlformats.org/officeDocument/2006/relationships/hyperlink" Target="https://research-information.bris.ac.uk/en/publications/the-covid-19-induced-joint-replacement-deficit-in-england-wales-a" TargetMode="External"/><Relationship Id="rId35" Type="http://schemas.openxmlformats.org/officeDocument/2006/relationships/hyperlink" Target="https://www.gov.uk/government/publications/health-matters-health-and-work/health-matters-health-and-work" TargetMode="External"/><Relationship Id="rId8" Type="http://schemas.openxmlformats.org/officeDocument/2006/relationships/hyperlink" Target="https://nass.co.uk/about-as/as-facts-and-figures/" TargetMode="External"/><Relationship Id="rId3" Type="http://schemas.openxmlformats.org/officeDocument/2006/relationships/hyperlink" Target="https://www.gov.scot/collections/scottish-health-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C723-6849-4261-B716-D83B6E33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5823</Words>
  <Characters>33194</Characters>
  <Application>Microsoft Office Word</Application>
  <DocSecurity>0</DocSecurity>
  <Lines>276</Lines>
  <Paragraphs>77</Paragraphs>
  <ScaleCrop>false</ScaleCrop>
  <Company>Versus Arthritis</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Firman</dc:creator>
  <cp:keywords/>
  <dc:description/>
  <cp:lastModifiedBy>Emma Tagg</cp:lastModifiedBy>
  <cp:revision>2</cp:revision>
  <dcterms:created xsi:type="dcterms:W3CDTF">2022-02-21T09:03:00Z</dcterms:created>
  <dcterms:modified xsi:type="dcterms:W3CDTF">2022-02-21T09:03:00Z</dcterms:modified>
</cp:coreProperties>
</file>